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340" w14:textId="6F8701A3" w:rsidR="0053044F" w:rsidRPr="00F30ADD" w:rsidRDefault="0053044F" w:rsidP="00F30ADD">
      <w:pPr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Funding Source: Self-funded</w:t>
      </w:r>
      <w:r w:rsidR="00F30ADD" w:rsidRPr="00F30ADD">
        <w:rPr>
          <w:rFonts w:ascii="Arial" w:hAnsi="Arial" w:cs="Arial"/>
          <w:b/>
          <w:sz w:val="24"/>
          <w:szCs w:val="24"/>
        </w:rPr>
        <w:t xml:space="preserve"> </w:t>
      </w:r>
      <w:r w:rsidRPr="00F30ADD">
        <w:rPr>
          <w:rFonts w:ascii="Arial" w:hAnsi="Arial" w:cs="Arial"/>
          <w:b/>
          <w:sz w:val="24"/>
          <w:szCs w:val="24"/>
        </w:rPr>
        <w:t>/</w:t>
      </w:r>
      <w:r w:rsidR="00F30ADD" w:rsidRPr="00F30ADD">
        <w:rPr>
          <w:rFonts w:ascii="Arial" w:hAnsi="Arial" w:cs="Arial"/>
          <w:b/>
          <w:sz w:val="24"/>
          <w:szCs w:val="24"/>
        </w:rPr>
        <w:t xml:space="preserve"> own </w:t>
      </w:r>
      <w:r w:rsidRPr="00F30ADD">
        <w:rPr>
          <w:rFonts w:ascii="Arial" w:hAnsi="Arial" w:cs="Arial"/>
          <w:b/>
          <w:sz w:val="24"/>
          <w:szCs w:val="24"/>
        </w:rPr>
        <w:t>sponsor</w:t>
      </w:r>
    </w:p>
    <w:p w14:paraId="3F9D426D" w14:textId="77777777" w:rsidR="0053044F" w:rsidRPr="00F30ADD" w:rsidRDefault="0053044F" w:rsidP="00F30ADD">
      <w:pPr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Proposed start date: to be confirmed/negotiable</w:t>
      </w:r>
    </w:p>
    <w:p w14:paraId="0F0A12F6" w14:textId="77777777" w:rsidR="0053044F" w:rsidRPr="00F30ADD" w:rsidRDefault="0053044F" w:rsidP="00F30ADD">
      <w:pPr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Closing date for applications: open until filled</w:t>
      </w:r>
    </w:p>
    <w:p w14:paraId="10862629" w14:textId="77777777" w:rsidR="0053044F" w:rsidRPr="00F30ADD" w:rsidRDefault="0053044F" w:rsidP="00F30ADD">
      <w:pPr>
        <w:ind w:left="1440" w:hanging="144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30AD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Eligibility: UK/International</w:t>
      </w:r>
    </w:p>
    <w:p w14:paraId="2D33B9C5" w14:textId="77777777" w:rsidR="00F30ADD" w:rsidRPr="00F30ADD" w:rsidRDefault="00F30ADD" w:rsidP="00F30ADD">
      <w:pPr>
        <w:ind w:left="1440" w:hanging="144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30ADD">
        <w:rPr>
          <w:rFonts w:ascii="Arial" w:hAnsi="Arial" w:cs="Arial"/>
          <w:b/>
          <w:i/>
          <w:iCs/>
          <w:sz w:val="24"/>
          <w:szCs w:val="24"/>
        </w:rPr>
        <w:t xml:space="preserve">International Tuition fee: £29,300 per annum (2024/5 entry).  </w:t>
      </w:r>
    </w:p>
    <w:p w14:paraId="346A7B28" w14:textId="77777777" w:rsidR="00F30ADD" w:rsidRPr="00F30ADD" w:rsidRDefault="00F30ADD" w:rsidP="00F30AD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30ADD">
        <w:rPr>
          <w:rFonts w:ascii="Arial" w:hAnsi="Arial" w:cs="Arial"/>
          <w:b/>
          <w:i/>
          <w:iCs/>
          <w:sz w:val="24"/>
          <w:szCs w:val="24"/>
        </w:rPr>
        <w:t xml:space="preserve">Standard UK PhD tuition fees for </w:t>
      </w:r>
      <w:proofErr w:type="gramStart"/>
      <w:r w:rsidRPr="00F30ADD">
        <w:rPr>
          <w:rFonts w:ascii="Arial" w:hAnsi="Arial" w:cs="Arial"/>
          <w:b/>
          <w:i/>
          <w:iCs/>
          <w:sz w:val="24"/>
          <w:szCs w:val="24"/>
        </w:rPr>
        <w:t>Home</w:t>
      </w:r>
      <w:proofErr w:type="gramEnd"/>
      <w:r w:rsidRPr="00F30ADD">
        <w:rPr>
          <w:rFonts w:ascii="Arial" w:hAnsi="Arial" w:cs="Arial"/>
          <w:b/>
          <w:i/>
          <w:iCs/>
          <w:sz w:val="24"/>
          <w:szCs w:val="24"/>
        </w:rPr>
        <w:t xml:space="preserve"> students:  </w:t>
      </w:r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full-time </w:t>
      </w:r>
      <w:r w:rsidRPr="00F30ADD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£4,786,</w:t>
      </w:r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part-time </w:t>
      </w:r>
      <w:r w:rsidRPr="00F30ADD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£2,393</w:t>
      </w:r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(2024/5 rates).  Please note that depending on your area of research there may be additional costs to allow for such as attendance at conferences, travel, training and consumables etc.</w:t>
      </w:r>
    </w:p>
    <w:p w14:paraId="1FCFD070" w14:textId="77777777" w:rsidR="0053044F" w:rsidRPr="00F30ADD" w:rsidRDefault="0053044F" w:rsidP="00F30AD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 xml:space="preserve">Department/School:  </w:t>
      </w:r>
      <w:r w:rsidRPr="00F30ADD">
        <w:rPr>
          <w:rFonts w:ascii="Arial" w:hAnsi="Arial" w:cs="Arial"/>
          <w:b/>
          <w:sz w:val="24"/>
          <w:szCs w:val="24"/>
        </w:rPr>
        <w:tab/>
        <w:t>Healthcare</w:t>
      </w:r>
    </w:p>
    <w:p w14:paraId="27AC88FF" w14:textId="74037708" w:rsidR="000E04E7" w:rsidRPr="00F30ADD" w:rsidRDefault="00B90549" w:rsidP="00F30ADD">
      <w:pPr>
        <w:jc w:val="both"/>
        <w:rPr>
          <w:rFonts w:ascii="Arial" w:hAnsi="Arial" w:cs="Arial"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Supervisors:</w:t>
      </w:r>
    </w:p>
    <w:p w14:paraId="21106E83" w14:textId="77777777" w:rsidR="00560379" w:rsidRPr="00F30ADD" w:rsidRDefault="00940A38" w:rsidP="00F30A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30ADD">
        <w:rPr>
          <w:rFonts w:ascii="Arial" w:hAnsi="Arial" w:cs="Arial"/>
          <w:sz w:val="24"/>
          <w:szCs w:val="24"/>
        </w:rPr>
        <w:t>Prof Joseph Manning</w:t>
      </w:r>
      <w:r w:rsidR="00560379" w:rsidRPr="00F30ADD">
        <w:rPr>
          <w:rFonts w:ascii="Arial" w:hAnsi="Arial" w:cs="Arial"/>
          <w:sz w:val="24"/>
          <w:szCs w:val="24"/>
        </w:rPr>
        <w:t>;</w:t>
      </w:r>
      <w:r w:rsidRPr="00F30AD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E04E7" w:rsidRPr="00F30ADD">
          <w:rPr>
            <w:rStyle w:val="Hyperlink"/>
            <w:rFonts w:ascii="Arial" w:hAnsi="Arial" w:cs="Arial"/>
            <w:sz w:val="24"/>
            <w:szCs w:val="24"/>
          </w:rPr>
          <w:t>joseph.manning@leicester.ac.uk</w:t>
        </w:r>
      </w:hyperlink>
      <w:r w:rsidR="000E04E7" w:rsidRPr="00F30AD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6C6332" w14:textId="77777777" w:rsidR="00B90549" w:rsidRPr="00F30ADD" w:rsidRDefault="00940A38" w:rsidP="00F30A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30ADD">
        <w:rPr>
          <w:rFonts w:ascii="Arial" w:hAnsi="Arial" w:cs="Arial"/>
          <w:sz w:val="24"/>
          <w:szCs w:val="24"/>
        </w:rPr>
        <w:t>Dr</w:t>
      </w:r>
      <w:r w:rsidR="00560379" w:rsidRPr="00F30A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379" w:rsidRPr="00F30ADD">
        <w:rPr>
          <w:rFonts w:ascii="Arial" w:hAnsi="Arial" w:cs="Arial"/>
          <w:sz w:val="24"/>
          <w:szCs w:val="24"/>
        </w:rPr>
        <w:t>Takawira</w:t>
      </w:r>
      <w:proofErr w:type="spellEnd"/>
      <w:r w:rsidR="00560379" w:rsidRPr="00F30A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379" w:rsidRPr="00F30ADD">
        <w:rPr>
          <w:rFonts w:ascii="Arial" w:hAnsi="Arial" w:cs="Arial"/>
          <w:sz w:val="24"/>
          <w:szCs w:val="24"/>
        </w:rPr>
        <w:t>Marufu</w:t>
      </w:r>
      <w:proofErr w:type="spellEnd"/>
      <w:r w:rsidR="00560379" w:rsidRPr="00F30ADD">
        <w:rPr>
          <w:rFonts w:ascii="Arial" w:hAnsi="Arial" w:cs="Arial"/>
          <w:sz w:val="24"/>
          <w:szCs w:val="24"/>
        </w:rPr>
        <w:t xml:space="preserve">; </w:t>
      </w:r>
      <w:hyperlink r:id="rId7" w:history="1">
        <w:r w:rsidR="000E04E7" w:rsidRPr="00F30ADD">
          <w:rPr>
            <w:rStyle w:val="Hyperlink"/>
            <w:rFonts w:ascii="Arial" w:hAnsi="Arial" w:cs="Arial"/>
            <w:sz w:val="24"/>
            <w:szCs w:val="24"/>
          </w:rPr>
          <w:t>takawira.marufu@nuh.nhs.uk</w:t>
        </w:r>
      </w:hyperlink>
    </w:p>
    <w:p w14:paraId="6737448B" w14:textId="77777777" w:rsidR="0072230C" w:rsidRPr="00F30ADD" w:rsidRDefault="0072230C" w:rsidP="00F30A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9EFDC4D" w14:textId="2D53141C" w:rsidR="00186CBA" w:rsidRPr="00F30ADD" w:rsidRDefault="00186CBA" w:rsidP="00F30A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Project</w:t>
      </w:r>
      <w:r w:rsidR="00BB2974" w:rsidRPr="00F30ADD">
        <w:rPr>
          <w:rFonts w:ascii="Arial" w:hAnsi="Arial" w:cs="Arial"/>
          <w:b/>
          <w:sz w:val="24"/>
          <w:szCs w:val="24"/>
        </w:rPr>
        <w:t xml:space="preserve"> Title</w:t>
      </w:r>
      <w:r w:rsidRPr="00F30ADD">
        <w:rPr>
          <w:rFonts w:ascii="Arial" w:hAnsi="Arial" w:cs="Arial"/>
          <w:b/>
          <w:sz w:val="24"/>
          <w:szCs w:val="24"/>
        </w:rPr>
        <w:t xml:space="preserve">: </w:t>
      </w:r>
      <w:r w:rsidR="004F1B24" w:rsidRPr="00F30ADD">
        <w:rPr>
          <w:rFonts w:ascii="Arial" w:hAnsi="Arial" w:cs="Arial"/>
          <w:sz w:val="24"/>
          <w:szCs w:val="24"/>
        </w:rPr>
        <w:t>Reducing pressure injury in c</w:t>
      </w:r>
      <w:r w:rsidR="00DB002C" w:rsidRPr="00F30ADD">
        <w:rPr>
          <w:rFonts w:ascii="Arial" w:hAnsi="Arial" w:cs="Arial"/>
          <w:sz w:val="24"/>
          <w:szCs w:val="24"/>
        </w:rPr>
        <w:t xml:space="preserve">ritically </w:t>
      </w:r>
      <w:r w:rsidR="00C208EA" w:rsidRPr="00F30ADD">
        <w:rPr>
          <w:rFonts w:ascii="Arial" w:hAnsi="Arial" w:cs="Arial"/>
          <w:sz w:val="24"/>
          <w:szCs w:val="24"/>
        </w:rPr>
        <w:t>Ill</w:t>
      </w:r>
      <w:r w:rsidR="00DB002C" w:rsidRPr="00F30ADD">
        <w:rPr>
          <w:rFonts w:ascii="Arial" w:hAnsi="Arial" w:cs="Arial"/>
          <w:sz w:val="24"/>
          <w:szCs w:val="24"/>
        </w:rPr>
        <w:t xml:space="preserve"> </w:t>
      </w:r>
      <w:r w:rsidR="004F1B24" w:rsidRPr="00F30ADD">
        <w:rPr>
          <w:rFonts w:ascii="Arial" w:hAnsi="Arial" w:cs="Arial"/>
          <w:sz w:val="24"/>
          <w:szCs w:val="24"/>
        </w:rPr>
        <w:t>h</w:t>
      </w:r>
      <w:r w:rsidR="00940A38" w:rsidRPr="00F30ADD">
        <w:rPr>
          <w:rFonts w:ascii="Arial" w:hAnsi="Arial" w:cs="Arial"/>
          <w:sz w:val="24"/>
          <w:szCs w:val="24"/>
        </w:rPr>
        <w:t xml:space="preserve">ospitalised </w:t>
      </w:r>
      <w:r w:rsidR="004F1B24" w:rsidRPr="00F30ADD">
        <w:rPr>
          <w:rFonts w:ascii="Arial" w:hAnsi="Arial" w:cs="Arial"/>
          <w:sz w:val="24"/>
          <w:szCs w:val="24"/>
        </w:rPr>
        <w:t>infants, children and young people: An intervention bundle development and feasibility testing study</w:t>
      </w:r>
      <w:r w:rsidR="00940A38" w:rsidRPr="00F30ADD">
        <w:rPr>
          <w:rFonts w:ascii="Arial" w:hAnsi="Arial" w:cs="Arial"/>
          <w:sz w:val="24"/>
          <w:szCs w:val="24"/>
        </w:rPr>
        <w:t>.</w:t>
      </w:r>
    </w:p>
    <w:p w14:paraId="257221C7" w14:textId="77777777" w:rsidR="00F30ADD" w:rsidRPr="00F30ADD" w:rsidRDefault="00F30ADD" w:rsidP="00F30A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678734" w14:textId="34330C78" w:rsidR="00F30ADD" w:rsidRPr="00F30ADD" w:rsidRDefault="00F30ADD" w:rsidP="00F30A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0ADD">
        <w:rPr>
          <w:rFonts w:ascii="Arial" w:hAnsi="Arial" w:cs="Arial"/>
          <w:b/>
          <w:bCs/>
          <w:sz w:val="24"/>
          <w:szCs w:val="24"/>
        </w:rPr>
        <w:t>Application link:</w:t>
      </w:r>
    </w:p>
    <w:p w14:paraId="30BA97E7" w14:textId="77777777" w:rsidR="00F30ADD" w:rsidRPr="00F30ADD" w:rsidRDefault="00F30ADD" w:rsidP="00F30ADD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F30ADD">
          <w:rPr>
            <w:rStyle w:val="Hyperlink"/>
            <w:rFonts w:ascii="Arial" w:hAnsi="Arial" w:cs="Arial"/>
            <w:b/>
            <w:bCs/>
            <w:sz w:val="24"/>
            <w:szCs w:val="24"/>
          </w:rPr>
          <w:t>https://le.ac.uk/study/research-degrees/research-subjects/school-of-healthcare</w:t>
        </w:r>
      </w:hyperlink>
      <w:r w:rsidRPr="00F30A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E33343" w14:textId="77777777" w:rsidR="00940A38" w:rsidRPr="00F30ADD" w:rsidRDefault="00940A38" w:rsidP="00F30ADD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14328183" w14:textId="5E4E4519" w:rsidR="00186CBA" w:rsidRPr="00F30ADD" w:rsidRDefault="005E7E07" w:rsidP="00F30ADD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 w:rsidRPr="00F30ADD">
        <w:rPr>
          <w:rFonts w:ascii="Arial" w:hAnsi="Arial" w:cs="Arial"/>
          <w:b/>
          <w:bCs/>
          <w:sz w:val="24"/>
          <w:szCs w:val="24"/>
        </w:rPr>
        <w:t>P</w:t>
      </w:r>
      <w:r w:rsidR="00186CBA" w:rsidRPr="00F30ADD">
        <w:rPr>
          <w:rFonts w:ascii="Arial" w:hAnsi="Arial" w:cs="Arial"/>
          <w:b/>
          <w:bCs/>
          <w:sz w:val="24"/>
          <w:szCs w:val="24"/>
        </w:rPr>
        <w:t>roject Description:</w:t>
      </w:r>
    </w:p>
    <w:p w14:paraId="709F2ED7" w14:textId="79733D30" w:rsidR="005E7E07" w:rsidRPr="00F30ADD" w:rsidRDefault="005E7E07" w:rsidP="00F30ADD">
      <w:pPr>
        <w:jc w:val="both"/>
        <w:rPr>
          <w:rFonts w:ascii="Arial" w:hAnsi="Arial" w:cs="Arial"/>
          <w:bCs/>
          <w:sz w:val="24"/>
          <w:szCs w:val="24"/>
        </w:rPr>
      </w:pPr>
      <w:r w:rsidRPr="00F30ADD">
        <w:rPr>
          <w:rFonts w:ascii="Arial" w:hAnsi="Arial" w:cs="Arial"/>
          <w:bCs/>
          <w:sz w:val="24"/>
          <w:szCs w:val="24"/>
        </w:rPr>
        <w:t>The development and prevention of pressure injuries (PI) is a complex phenomenon, dependent on a wide variety of extrinsic and intrinsic risk factors. Pressure injuries have undesirable consequences, both for healthcare organisation</w:t>
      </w:r>
      <w:r w:rsidR="009B7442" w:rsidRPr="00F30ADD">
        <w:rPr>
          <w:rFonts w:ascii="Arial" w:hAnsi="Arial" w:cs="Arial"/>
          <w:bCs/>
          <w:sz w:val="24"/>
          <w:szCs w:val="24"/>
        </w:rPr>
        <w:t>s</w:t>
      </w:r>
      <w:r w:rsidRPr="00F30ADD">
        <w:rPr>
          <w:rFonts w:ascii="Arial" w:hAnsi="Arial" w:cs="Arial"/>
          <w:bCs/>
          <w:sz w:val="24"/>
          <w:szCs w:val="24"/>
        </w:rPr>
        <w:t xml:space="preserve"> and patients. These include; personal suffering, impaired </w:t>
      </w:r>
      <w:r w:rsidR="00D4438C" w:rsidRPr="00F30ADD">
        <w:rPr>
          <w:rFonts w:ascii="Arial" w:hAnsi="Arial" w:cs="Arial"/>
          <w:bCs/>
          <w:sz w:val="24"/>
          <w:szCs w:val="24"/>
        </w:rPr>
        <w:t>long-term</w:t>
      </w:r>
      <w:r w:rsidRPr="00F30ADD">
        <w:rPr>
          <w:rFonts w:ascii="Arial" w:hAnsi="Arial" w:cs="Arial"/>
          <w:bCs/>
          <w:sz w:val="24"/>
          <w:szCs w:val="24"/>
        </w:rPr>
        <w:t xml:space="preserve"> outcomes and function, financial burden </w:t>
      </w:r>
      <w:r w:rsidR="009B7442" w:rsidRPr="00F30ADD">
        <w:rPr>
          <w:rFonts w:ascii="Arial" w:hAnsi="Arial" w:cs="Arial"/>
          <w:bCs/>
          <w:sz w:val="24"/>
          <w:szCs w:val="24"/>
        </w:rPr>
        <w:t>on the organisation</w:t>
      </w:r>
      <w:r w:rsidRPr="00F30ADD">
        <w:rPr>
          <w:rFonts w:ascii="Arial" w:hAnsi="Arial" w:cs="Arial"/>
          <w:bCs/>
          <w:sz w:val="24"/>
          <w:szCs w:val="24"/>
        </w:rPr>
        <w:t>,</w:t>
      </w:r>
      <w:r w:rsidR="009B7442" w:rsidRPr="00F30ADD">
        <w:rPr>
          <w:rFonts w:ascii="Arial" w:hAnsi="Arial" w:cs="Arial"/>
          <w:bCs/>
          <w:sz w:val="24"/>
          <w:szCs w:val="24"/>
        </w:rPr>
        <w:t xml:space="preserve"> requirement for additional</w:t>
      </w:r>
      <w:r w:rsidRPr="00F30ADD">
        <w:rPr>
          <w:rFonts w:ascii="Arial" w:hAnsi="Arial" w:cs="Arial"/>
          <w:bCs/>
          <w:sz w:val="24"/>
          <w:szCs w:val="24"/>
        </w:rPr>
        <w:t xml:space="preserve"> interventions</w:t>
      </w:r>
      <w:r w:rsidR="00D4438C" w:rsidRPr="00F30ADD">
        <w:rPr>
          <w:rFonts w:ascii="Arial" w:hAnsi="Arial" w:cs="Arial"/>
          <w:bCs/>
          <w:sz w:val="24"/>
          <w:szCs w:val="24"/>
        </w:rPr>
        <w:t>,</w:t>
      </w:r>
      <w:r w:rsidRPr="00F30ADD">
        <w:rPr>
          <w:rFonts w:ascii="Arial" w:hAnsi="Arial" w:cs="Arial"/>
          <w:bCs/>
          <w:sz w:val="24"/>
          <w:szCs w:val="24"/>
        </w:rPr>
        <w:t xml:space="preserve"> and increased len</w:t>
      </w:r>
      <w:r w:rsidR="00D4438C" w:rsidRPr="00F30ADD">
        <w:rPr>
          <w:rFonts w:ascii="Arial" w:hAnsi="Arial" w:cs="Arial"/>
          <w:bCs/>
          <w:sz w:val="24"/>
          <w:szCs w:val="24"/>
        </w:rPr>
        <w:t xml:space="preserve">gth of hospital stay (Fletcher </w:t>
      </w:r>
      <w:r w:rsidRPr="00F30ADD">
        <w:rPr>
          <w:rFonts w:ascii="Arial" w:hAnsi="Arial" w:cs="Arial"/>
          <w:bCs/>
          <w:sz w:val="24"/>
          <w:szCs w:val="24"/>
        </w:rPr>
        <w:t xml:space="preserve">et al., 2013, </w:t>
      </w:r>
      <w:proofErr w:type="spellStart"/>
      <w:r w:rsidRPr="00F30ADD">
        <w:rPr>
          <w:rFonts w:ascii="Arial" w:hAnsi="Arial" w:cs="Arial"/>
          <w:bCs/>
          <w:sz w:val="24"/>
          <w:szCs w:val="24"/>
        </w:rPr>
        <w:t>Kronman</w:t>
      </w:r>
      <w:proofErr w:type="spellEnd"/>
      <w:r w:rsidRPr="00F30ADD">
        <w:rPr>
          <w:rFonts w:ascii="Arial" w:hAnsi="Arial" w:cs="Arial"/>
          <w:bCs/>
          <w:sz w:val="24"/>
          <w:szCs w:val="24"/>
        </w:rPr>
        <w:t xml:space="preserve"> et al., 2008). The scale of the problem is global with </w:t>
      </w:r>
      <w:r w:rsidR="00D4438C" w:rsidRPr="00F30ADD">
        <w:rPr>
          <w:rFonts w:ascii="Arial" w:hAnsi="Arial" w:cs="Arial"/>
          <w:bCs/>
          <w:sz w:val="24"/>
          <w:szCs w:val="24"/>
        </w:rPr>
        <w:t xml:space="preserve">the </w:t>
      </w:r>
      <w:r w:rsidRPr="00F30ADD">
        <w:rPr>
          <w:rFonts w:ascii="Arial" w:hAnsi="Arial" w:cs="Arial"/>
          <w:bCs/>
          <w:sz w:val="24"/>
          <w:szCs w:val="24"/>
        </w:rPr>
        <w:t>current prevalence rate of PI in children and young people (CYP) ranging from 1 to 8.2% for more serious PI (grade 2- 4) (</w:t>
      </w:r>
      <w:proofErr w:type="spellStart"/>
      <w:r w:rsidRPr="00F30ADD">
        <w:rPr>
          <w:rFonts w:ascii="Arial" w:hAnsi="Arial" w:cs="Arial"/>
          <w:bCs/>
          <w:sz w:val="24"/>
          <w:szCs w:val="24"/>
        </w:rPr>
        <w:t>Delmore</w:t>
      </w:r>
      <w:proofErr w:type="spellEnd"/>
      <w:r w:rsidRPr="00F30ADD">
        <w:rPr>
          <w:rFonts w:ascii="Arial" w:hAnsi="Arial" w:cs="Arial"/>
          <w:bCs/>
          <w:sz w:val="24"/>
          <w:szCs w:val="24"/>
        </w:rPr>
        <w:t xml:space="preserve"> et al., 2019, </w:t>
      </w:r>
      <w:proofErr w:type="spellStart"/>
      <w:r w:rsidRPr="00F30ADD">
        <w:rPr>
          <w:rFonts w:ascii="Arial" w:hAnsi="Arial" w:cs="Arial"/>
          <w:bCs/>
          <w:sz w:val="24"/>
          <w:szCs w:val="24"/>
        </w:rPr>
        <w:t>Marufu</w:t>
      </w:r>
      <w:proofErr w:type="spellEnd"/>
      <w:r w:rsidRPr="00F30ADD">
        <w:rPr>
          <w:rFonts w:ascii="Arial" w:hAnsi="Arial" w:cs="Arial"/>
          <w:bCs/>
          <w:sz w:val="24"/>
          <w:szCs w:val="24"/>
        </w:rPr>
        <w:t xml:space="preserve"> et al., 2021). However higher prevalence rates have been reported in paediatric intensive care units (PICUs) (43.1%) (</w:t>
      </w:r>
      <w:proofErr w:type="spellStart"/>
      <w:r w:rsidRPr="00F30ADD">
        <w:rPr>
          <w:rFonts w:ascii="Arial" w:hAnsi="Arial" w:cs="Arial"/>
          <w:bCs/>
          <w:sz w:val="24"/>
          <w:szCs w:val="24"/>
        </w:rPr>
        <w:t>Razmus</w:t>
      </w:r>
      <w:proofErr w:type="spellEnd"/>
      <w:r w:rsidRPr="00F30ADD">
        <w:rPr>
          <w:rFonts w:ascii="Arial" w:hAnsi="Arial" w:cs="Arial"/>
          <w:bCs/>
          <w:sz w:val="24"/>
          <w:szCs w:val="24"/>
        </w:rPr>
        <w:t xml:space="preserve"> and Bergquist-</w:t>
      </w:r>
      <w:proofErr w:type="spellStart"/>
      <w:r w:rsidRPr="00F30ADD">
        <w:rPr>
          <w:rFonts w:ascii="Arial" w:hAnsi="Arial" w:cs="Arial"/>
          <w:bCs/>
          <w:sz w:val="24"/>
          <w:szCs w:val="24"/>
        </w:rPr>
        <w:t>Beringer</w:t>
      </w:r>
      <w:proofErr w:type="spellEnd"/>
      <w:r w:rsidRPr="00F30ADD">
        <w:rPr>
          <w:rFonts w:ascii="Arial" w:hAnsi="Arial" w:cs="Arial"/>
          <w:bCs/>
          <w:sz w:val="24"/>
          <w:szCs w:val="24"/>
        </w:rPr>
        <w:t>, 2017)</w:t>
      </w:r>
      <w:r w:rsidR="00AA5760" w:rsidRPr="00F30ADD">
        <w:rPr>
          <w:rFonts w:ascii="Arial" w:hAnsi="Arial" w:cs="Arial"/>
          <w:bCs/>
          <w:sz w:val="24"/>
          <w:szCs w:val="24"/>
        </w:rPr>
        <w:t xml:space="preserve"> </w:t>
      </w:r>
      <w:r w:rsidRPr="00F30ADD">
        <w:rPr>
          <w:rFonts w:ascii="Arial" w:hAnsi="Arial" w:cs="Arial"/>
          <w:bCs/>
          <w:sz w:val="24"/>
          <w:szCs w:val="24"/>
        </w:rPr>
        <w:t>and neonatal intensive care units (NICUs) (23%) (</w:t>
      </w:r>
      <w:proofErr w:type="spellStart"/>
      <w:r w:rsidRPr="00F30ADD">
        <w:rPr>
          <w:rFonts w:ascii="Arial" w:hAnsi="Arial" w:cs="Arial"/>
          <w:bCs/>
          <w:sz w:val="24"/>
          <w:szCs w:val="24"/>
        </w:rPr>
        <w:t>Baharestani</w:t>
      </w:r>
      <w:proofErr w:type="spellEnd"/>
      <w:r w:rsidRPr="00F30ADD">
        <w:rPr>
          <w:rFonts w:ascii="Arial" w:hAnsi="Arial" w:cs="Arial"/>
          <w:bCs/>
          <w:sz w:val="24"/>
          <w:szCs w:val="24"/>
        </w:rPr>
        <w:t xml:space="preserve"> and Ratliff, 2007). CYP requiring critical care admission </w:t>
      </w:r>
      <w:r w:rsidR="009B7442" w:rsidRPr="00F30ADD">
        <w:rPr>
          <w:rFonts w:ascii="Arial" w:hAnsi="Arial" w:cs="Arial"/>
          <w:bCs/>
          <w:sz w:val="24"/>
          <w:szCs w:val="24"/>
        </w:rPr>
        <w:t>form</w:t>
      </w:r>
      <w:r w:rsidRPr="00F30ADD">
        <w:rPr>
          <w:rFonts w:ascii="Arial" w:hAnsi="Arial" w:cs="Arial"/>
          <w:bCs/>
          <w:sz w:val="24"/>
          <w:szCs w:val="24"/>
        </w:rPr>
        <w:t xml:space="preserve"> an extremely vulnerable patient group with an exceptionally high risk of immobility-related pressure injuries (Chamblee et al., 2018). Furthermore, these patients</w:t>
      </w:r>
      <w:r w:rsidR="009B7442" w:rsidRPr="00F30ADD">
        <w:rPr>
          <w:rFonts w:ascii="Arial" w:hAnsi="Arial" w:cs="Arial"/>
          <w:bCs/>
          <w:sz w:val="24"/>
          <w:szCs w:val="24"/>
        </w:rPr>
        <w:t xml:space="preserve"> are often</w:t>
      </w:r>
      <w:r w:rsidRPr="00F30ADD">
        <w:rPr>
          <w:rFonts w:ascii="Arial" w:hAnsi="Arial" w:cs="Arial"/>
          <w:bCs/>
          <w:sz w:val="24"/>
          <w:szCs w:val="24"/>
        </w:rPr>
        <w:t xml:space="preserve"> seriously ill with delicate and immature skin and </w:t>
      </w:r>
      <w:r w:rsidR="009B7442" w:rsidRPr="00F30ADD">
        <w:rPr>
          <w:rFonts w:ascii="Arial" w:hAnsi="Arial" w:cs="Arial"/>
          <w:bCs/>
          <w:sz w:val="24"/>
          <w:szCs w:val="24"/>
        </w:rPr>
        <w:t xml:space="preserve">are attached </w:t>
      </w:r>
      <w:r w:rsidR="00F80EDE" w:rsidRPr="00F30ADD">
        <w:rPr>
          <w:rFonts w:ascii="Arial" w:hAnsi="Arial" w:cs="Arial"/>
          <w:bCs/>
          <w:sz w:val="24"/>
          <w:szCs w:val="24"/>
        </w:rPr>
        <w:t>to numerous</w:t>
      </w:r>
      <w:r w:rsidR="009B7442" w:rsidRPr="00F30ADD">
        <w:rPr>
          <w:rFonts w:ascii="Arial" w:hAnsi="Arial" w:cs="Arial"/>
          <w:bCs/>
          <w:sz w:val="24"/>
          <w:szCs w:val="24"/>
        </w:rPr>
        <w:t xml:space="preserve"> </w:t>
      </w:r>
      <w:r w:rsidRPr="00F30ADD">
        <w:rPr>
          <w:rFonts w:ascii="Arial" w:hAnsi="Arial" w:cs="Arial"/>
          <w:bCs/>
          <w:sz w:val="24"/>
          <w:szCs w:val="24"/>
        </w:rPr>
        <w:t xml:space="preserve">medical devices (Willock et al., 2016). </w:t>
      </w:r>
      <w:r w:rsidR="009B7442" w:rsidRPr="00F30ADD">
        <w:rPr>
          <w:rFonts w:ascii="Arial" w:hAnsi="Arial" w:cs="Arial"/>
          <w:bCs/>
          <w:sz w:val="24"/>
          <w:szCs w:val="24"/>
        </w:rPr>
        <w:t>E</w:t>
      </w:r>
      <w:r w:rsidRPr="00F30ADD">
        <w:rPr>
          <w:rFonts w:ascii="Arial" w:hAnsi="Arial" w:cs="Arial"/>
          <w:bCs/>
          <w:sz w:val="24"/>
          <w:szCs w:val="24"/>
        </w:rPr>
        <w:t xml:space="preserve">vidence suggests that medical devices are also a leading cause of PI in CYP (Gefen et al., 2020). </w:t>
      </w:r>
    </w:p>
    <w:p w14:paraId="25D4ED69" w14:textId="207BE077" w:rsidR="005E7E07" w:rsidRPr="00F30ADD" w:rsidRDefault="005251DE" w:rsidP="00F30ADD">
      <w:pPr>
        <w:jc w:val="both"/>
        <w:rPr>
          <w:rFonts w:ascii="Arial" w:hAnsi="Arial" w:cs="Arial"/>
          <w:bCs/>
          <w:sz w:val="24"/>
          <w:szCs w:val="24"/>
        </w:rPr>
      </w:pPr>
      <w:r w:rsidRPr="00F30ADD">
        <w:rPr>
          <w:rFonts w:ascii="Arial" w:hAnsi="Arial" w:cs="Arial"/>
          <w:bCs/>
          <w:sz w:val="24"/>
          <w:szCs w:val="24"/>
        </w:rPr>
        <w:lastRenderedPageBreak/>
        <w:t xml:space="preserve">In recent years we conducted a </w:t>
      </w:r>
      <w:r w:rsidR="005E7E07" w:rsidRPr="00F30ADD">
        <w:rPr>
          <w:rFonts w:ascii="Arial" w:hAnsi="Arial" w:cs="Arial"/>
          <w:bCs/>
          <w:sz w:val="24"/>
          <w:szCs w:val="24"/>
        </w:rPr>
        <w:t>point prevalence study (</w:t>
      </w:r>
      <w:proofErr w:type="spellStart"/>
      <w:r w:rsidR="005E7E07" w:rsidRPr="00F30ADD">
        <w:rPr>
          <w:rFonts w:ascii="Arial" w:hAnsi="Arial" w:cs="Arial"/>
          <w:bCs/>
          <w:sz w:val="24"/>
          <w:szCs w:val="24"/>
        </w:rPr>
        <w:t>Marufu</w:t>
      </w:r>
      <w:proofErr w:type="spellEnd"/>
      <w:r w:rsidR="005E7E07" w:rsidRPr="00F30ADD">
        <w:rPr>
          <w:rFonts w:ascii="Arial" w:hAnsi="Arial" w:cs="Arial"/>
          <w:bCs/>
          <w:sz w:val="24"/>
          <w:szCs w:val="24"/>
        </w:rPr>
        <w:t xml:space="preserve"> et al 2021)</w:t>
      </w:r>
      <w:r w:rsidRPr="00F30ADD">
        <w:rPr>
          <w:rFonts w:ascii="Arial" w:hAnsi="Arial" w:cs="Arial"/>
          <w:bCs/>
          <w:sz w:val="24"/>
          <w:szCs w:val="24"/>
        </w:rPr>
        <w:t xml:space="preserve"> at a tertiary children’s hospital to</w:t>
      </w:r>
      <w:r w:rsidR="005E7E07" w:rsidRPr="00F30ADD">
        <w:rPr>
          <w:rFonts w:ascii="Arial" w:hAnsi="Arial" w:cs="Arial"/>
          <w:bCs/>
          <w:sz w:val="24"/>
          <w:szCs w:val="24"/>
        </w:rPr>
        <w:t xml:space="preserve"> understand and quantify the current level of PI cases and management interventions.</w:t>
      </w:r>
      <w:r w:rsidRPr="00F30ADD">
        <w:rPr>
          <w:rFonts w:ascii="Arial" w:hAnsi="Arial" w:cs="Arial"/>
          <w:bCs/>
          <w:sz w:val="24"/>
          <w:szCs w:val="24"/>
        </w:rPr>
        <w:t xml:space="preserve"> </w:t>
      </w:r>
      <w:r w:rsidR="004F3116" w:rsidRPr="00F30ADD">
        <w:rPr>
          <w:rFonts w:ascii="Arial" w:hAnsi="Arial" w:cs="Arial"/>
          <w:bCs/>
          <w:sz w:val="24"/>
          <w:szCs w:val="24"/>
        </w:rPr>
        <w:t>Subsequently, a systematic review and meta-analysis were conducted, evaluating the effectiveness of preventive interventions aimed at mitigating PI in children and young people (CYP) admitted to the Paediatric Intensive Care Unit (PICU)</w:t>
      </w:r>
      <w:r w:rsidR="005E7E07" w:rsidRPr="00F30ADD">
        <w:rPr>
          <w:rFonts w:ascii="Arial" w:hAnsi="Arial" w:cs="Arial"/>
          <w:bCs/>
          <w:sz w:val="24"/>
          <w:szCs w:val="24"/>
        </w:rPr>
        <w:t xml:space="preserve">. The findings demonstrated an associated 61% potential reduction in PI </w:t>
      </w:r>
      <w:r w:rsidR="00D4438C" w:rsidRPr="00F30ADD">
        <w:rPr>
          <w:rFonts w:ascii="Arial" w:hAnsi="Arial" w:cs="Arial"/>
          <w:bCs/>
          <w:sz w:val="24"/>
          <w:szCs w:val="24"/>
        </w:rPr>
        <w:t>post-intervention</w:t>
      </w:r>
      <w:r w:rsidR="005E7E07" w:rsidRPr="00F30ADD">
        <w:rPr>
          <w:rFonts w:ascii="Arial" w:hAnsi="Arial" w:cs="Arial"/>
          <w:bCs/>
          <w:sz w:val="24"/>
          <w:szCs w:val="24"/>
        </w:rPr>
        <w:t xml:space="preserve"> (pooled OR (95% confidence interval (CI) 0.26 – 0.60) P &lt; 0.0001)</w:t>
      </w:r>
      <w:r w:rsidR="005067AA" w:rsidRPr="00F30ADD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5067AA" w:rsidRPr="00F30ADD">
        <w:rPr>
          <w:rFonts w:ascii="Arial" w:hAnsi="Arial" w:cs="Arial"/>
          <w:bCs/>
          <w:sz w:val="24"/>
          <w:szCs w:val="24"/>
        </w:rPr>
        <w:t>Setchell</w:t>
      </w:r>
      <w:proofErr w:type="spellEnd"/>
      <w:r w:rsidR="005067AA" w:rsidRPr="00F30ADD">
        <w:rPr>
          <w:rFonts w:ascii="Arial" w:hAnsi="Arial" w:cs="Arial"/>
          <w:bCs/>
          <w:sz w:val="24"/>
          <w:szCs w:val="24"/>
        </w:rPr>
        <w:t xml:space="preserve"> et al 2023)</w:t>
      </w:r>
      <w:r w:rsidR="005E7E07" w:rsidRPr="00F30ADD">
        <w:rPr>
          <w:rFonts w:ascii="Arial" w:hAnsi="Arial" w:cs="Arial"/>
          <w:bCs/>
          <w:sz w:val="24"/>
          <w:szCs w:val="24"/>
        </w:rPr>
        <w:t xml:space="preserve">. </w:t>
      </w:r>
      <w:r w:rsidR="004F1B24" w:rsidRPr="00F30ADD">
        <w:rPr>
          <w:rFonts w:ascii="Arial" w:hAnsi="Arial" w:cs="Arial"/>
          <w:bCs/>
          <w:sz w:val="24"/>
          <w:szCs w:val="24"/>
        </w:rPr>
        <w:t xml:space="preserve">However, contemporary </w:t>
      </w:r>
      <w:proofErr w:type="spellStart"/>
      <w:r w:rsidR="004F1B24" w:rsidRPr="00F30ADD">
        <w:rPr>
          <w:rFonts w:ascii="Arial" w:hAnsi="Arial" w:cs="Arial"/>
          <w:bCs/>
          <w:sz w:val="24"/>
          <w:szCs w:val="24"/>
        </w:rPr>
        <w:t>untility</w:t>
      </w:r>
      <w:proofErr w:type="spellEnd"/>
      <w:r w:rsidR="004F1B24" w:rsidRPr="00F30ADD">
        <w:rPr>
          <w:rFonts w:ascii="Arial" w:hAnsi="Arial" w:cs="Arial"/>
          <w:bCs/>
          <w:sz w:val="24"/>
          <w:szCs w:val="24"/>
        </w:rPr>
        <w:t xml:space="preserve"> and effectiveness of the </w:t>
      </w:r>
      <w:proofErr w:type="spellStart"/>
      <w:r w:rsidR="004F1B24" w:rsidRPr="00F30ADD">
        <w:rPr>
          <w:rFonts w:ascii="Arial" w:hAnsi="Arial" w:cs="Arial"/>
          <w:bCs/>
          <w:sz w:val="24"/>
          <w:szCs w:val="24"/>
        </w:rPr>
        <w:t>budle</w:t>
      </w:r>
      <w:proofErr w:type="spellEnd"/>
      <w:r w:rsidR="004F1B24" w:rsidRPr="00F30ADD">
        <w:rPr>
          <w:rFonts w:ascii="Arial" w:hAnsi="Arial" w:cs="Arial"/>
          <w:bCs/>
          <w:sz w:val="24"/>
          <w:szCs w:val="24"/>
        </w:rPr>
        <w:t xml:space="preserve"> requires establishing.  </w:t>
      </w:r>
    </w:p>
    <w:p w14:paraId="6A9AE515" w14:textId="282220BC" w:rsidR="00D4438C" w:rsidRPr="00F30ADD" w:rsidRDefault="00AA0283" w:rsidP="00F30ADD">
      <w:pPr>
        <w:jc w:val="both"/>
        <w:rPr>
          <w:rFonts w:ascii="Arial" w:hAnsi="Arial" w:cs="Arial"/>
          <w:bCs/>
          <w:sz w:val="24"/>
          <w:szCs w:val="24"/>
        </w:rPr>
      </w:pPr>
      <w:r w:rsidRPr="00F30ADD">
        <w:rPr>
          <w:rFonts w:ascii="Arial" w:hAnsi="Arial" w:cs="Arial"/>
          <w:bCs/>
          <w:sz w:val="24"/>
          <w:szCs w:val="24"/>
        </w:rPr>
        <w:t>Th</w:t>
      </w:r>
      <w:r w:rsidR="004F1B24" w:rsidRPr="00F30ADD">
        <w:rPr>
          <w:rFonts w:ascii="Arial" w:hAnsi="Arial" w:cs="Arial"/>
          <w:bCs/>
          <w:sz w:val="24"/>
          <w:szCs w:val="24"/>
        </w:rPr>
        <w:t>is</w:t>
      </w:r>
      <w:r w:rsidRPr="00F30ADD">
        <w:rPr>
          <w:rFonts w:ascii="Arial" w:hAnsi="Arial" w:cs="Arial"/>
          <w:bCs/>
          <w:sz w:val="24"/>
          <w:szCs w:val="24"/>
        </w:rPr>
        <w:t xml:space="preserve"> project aim</w:t>
      </w:r>
      <w:r w:rsidR="004F1B24" w:rsidRPr="00F30ADD">
        <w:rPr>
          <w:rFonts w:ascii="Arial" w:hAnsi="Arial" w:cs="Arial"/>
          <w:bCs/>
          <w:sz w:val="24"/>
          <w:szCs w:val="24"/>
        </w:rPr>
        <w:t>s</w:t>
      </w:r>
      <w:r w:rsidRPr="00F30ADD">
        <w:rPr>
          <w:rFonts w:ascii="Arial" w:hAnsi="Arial" w:cs="Arial"/>
          <w:bCs/>
          <w:sz w:val="24"/>
          <w:szCs w:val="24"/>
        </w:rPr>
        <w:t xml:space="preserve"> </w:t>
      </w:r>
      <w:r w:rsidR="004F1B24" w:rsidRPr="00F30ADD">
        <w:rPr>
          <w:rFonts w:ascii="Arial" w:hAnsi="Arial" w:cs="Arial"/>
          <w:bCs/>
          <w:sz w:val="24"/>
          <w:szCs w:val="24"/>
        </w:rPr>
        <w:t>to develop/refine and test the feasibility of a bundled intervention to reduce the risk of pressure injury of critically ill/injured infants, children and young people in the hospital</w:t>
      </w:r>
      <w:r w:rsidR="001D5461" w:rsidRPr="00F30ADD">
        <w:rPr>
          <w:rFonts w:ascii="Arial" w:hAnsi="Arial" w:cs="Arial"/>
          <w:bCs/>
          <w:sz w:val="24"/>
          <w:szCs w:val="24"/>
        </w:rPr>
        <w:t>.</w:t>
      </w:r>
    </w:p>
    <w:p w14:paraId="0602C718" w14:textId="22B99725" w:rsidR="00104A6B" w:rsidRPr="00F30ADD" w:rsidRDefault="0072230C" w:rsidP="00F30ADD">
      <w:pPr>
        <w:jc w:val="both"/>
        <w:rPr>
          <w:rFonts w:ascii="Arial" w:hAnsi="Arial" w:cs="Arial"/>
          <w:bCs/>
          <w:sz w:val="24"/>
          <w:szCs w:val="24"/>
        </w:rPr>
      </w:pPr>
      <w:r w:rsidRPr="00F30ADD">
        <w:rPr>
          <w:rFonts w:ascii="Arial" w:hAnsi="Arial" w:cs="Arial"/>
          <w:b/>
          <w:bCs/>
          <w:sz w:val="24"/>
          <w:szCs w:val="24"/>
        </w:rPr>
        <w:t>Phase 1</w:t>
      </w:r>
      <w:r w:rsidR="003F276D" w:rsidRPr="00F30ADD">
        <w:rPr>
          <w:rFonts w:ascii="Arial" w:hAnsi="Arial" w:cs="Arial"/>
          <w:b/>
          <w:bCs/>
          <w:sz w:val="24"/>
          <w:szCs w:val="24"/>
        </w:rPr>
        <w:t>:</w:t>
      </w:r>
      <w:r w:rsidR="003F276D" w:rsidRPr="00F30ADD">
        <w:rPr>
          <w:rFonts w:ascii="Arial" w:hAnsi="Arial" w:cs="Arial"/>
          <w:bCs/>
          <w:sz w:val="24"/>
          <w:szCs w:val="24"/>
        </w:rPr>
        <w:t xml:space="preserve"> </w:t>
      </w:r>
      <w:r w:rsidR="00732867" w:rsidRPr="00F30ADD">
        <w:rPr>
          <w:rFonts w:ascii="Arial" w:hAnsi="Arial" w:cs="Arial"/>
          <w:bCs/>
          <w:sz w:val="24"/>
          <w:szCs w:val="24"/>
        </w:rPr>
        <w:t xml:space="preserve">Develop and refine </w:t>
      </w:r>
      <w:r w:rsidRPr="00F30ADD">
        <w:rPr>
          <w:rFonts w:ascii="Arial" w:hAnsi="Arial" w:cs="Arial"/>
          <w:bCs/>
          <w:sz w:val="24"/>
          <w:szCs w:val="24"/>
        </w:rPr>
        <w:t>through review of literature/</w:t>
      </w:r>
      <w:proofErr w:type="gramStart"/>
      <w:r w:rsidRPr="00F30ADD">
        <w:rPr>
          <w:rFonts w:ascii="Arial" w:hAnsi="Arial" w:cs="Arial"/>
          <w:bCs/>
          <w:sz w:val="24"/>
          <w:szCs w:val="24"/>
        </w:rPr>
        <w:t>experience based</w:t>
      </w:r>
      <w:proofErr w:type="gramEnd"/>
      <w:r w:rsidRPr="00F30ADD">
        <w:rPr>
          <w:rFonts w:ascii="Arial" w:hAnsi="Arial" w:cs="Arial"/>
          <w:bCs/>
          <w:sz w:val="24"/>
          <w:szCs w:val="24"/>
        </w:rPr>
        <w:t xml:space="preserve"> co-design workshops an </w:t>
      </w:r>
      <w:r w:rsidR="001D5461" w:rsidRPr="00F30ADD">
        <w:rPr>
          <w:rFonts w:ascii="Arial" w:hAnsi="Arial" w:cs="Arial"/>
          <w:bCs/>
          <w:sz w:val="24"/>
          <w:szCs w:val="24"/>
        </w:rPr>
        <w:t xml:space="preserve">evidence-based </w:t>
      </w:r>
      <w:r w:rsidRPr="00F30ADD">
        <w:rPr>
          <w:rFonts w:ascii="Arial" w:hAnsi="Arial" w:cs="Arial"/>
          <w:bCs/>
          <w:sz w:val="24"/>
          <w:szCs w:val="24"/>
        </w:rPr>
        <w:t>bundled intervention</w:t>
      </w:r>
      <w:r w:rsidR="00317FFB" w:rsidRPr="00F30ADD">
        <w:rPr>
          <w:rFonts w:ascii="Arial" w:hAnsi="Arial" w:cs="Arial"/>
          <w:bCs/>
          <w:sz w:val="24"/>
          <w:szCs w:val="24"/>
        </w:rPr>
        <w:t>.</w:t>
      </w:r>
    </w:p>
    <w:p w14:paraId="44E82FDF" w14:textId="018A4A0E" w:rsidR="0072230C" w:rsidRPr="00F30ADD" w:rsidRDefault="0072230C" w:rsidP="00F30ADD">
      <w:pPr>
        <w:jc w:val="both"/>
        <w:rPr>
          <w:rFonts w:ascii="Arial" w:hAnsi="Arial" w:cs="Arial"/>
          <w:bCs/>
          <w:sz w:val="24"/>
          <w:szCs w:val="24"/>
        </w:rPr>
      </w:pPr>
      <w:r w:rsidRPr="00F30ADD">
        <w:rPr>
          <w:rFonts w:ascii="Arial" w:hAnsi="Arial" w:cs="Arial"/>
          <w:b/>
          <w:bCs/>
          <w:sz w:val="24"/>
          <w:szCs w:val="24"/>
        </w:rPr>
        <w:t>Phase 2:</w:t>
      </w:r>
      <w:r w:rsidRPr="00F30ADD">
        <w:rPr>
          <w:rFonts w:ascii="Arial" w:hAnsi="Arial" w:cs="Arial"/>
          <w:bCs/>
          <w:sz w:val="24"/>
          <w:szCs w:val="24"/>
        </w:rPr>
        <w:t xml:space="preserve"> Establish feasibility, acceptability and utility of the bundled intervention in PICU through planning and delivering a multicentre feasibility study.</w:t>
      </w:r>
    </w:p>
    <w:p w14:paraId="7C0C6EB3" w14:textId="77777777" w:rsidR="008608FE" w:rsidRPr="00F30ADD" w:rsidRDefault="008608FE" w:rsidP="00F30AD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03FFB946" w14:textId="77777777" w:rsidR="00B24449" w:rsidRPr="00F30ADD" w:rsidRDefault="00B24449" w:rsidP="00F30ADD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30ADD">
        <w:rPr>
          <w:rFonts w:ascii="Arial" w:hAnsi="Arial" w:cs="Arial"/>
          <w:b/>
          <w:bCs/>
          <w:i/>
          <w:iCs/>
          <w:sz w:val="24"/>
          <w:szCs w:val="24"/>
        </w:rPr>
        <w:t xml:space="preserve">References: </w:t>
      </w:r>
    </w:p>
    <w:p w14:paraId="047369CE" w14:textId="77777777" w:rsidR="00B24449" w:rsidRPr="00F30ADD" w:rsidRDefault="00B24449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115A57" w14:textId="13C07392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Baharestani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>, M.M., Ratliff, C.R., 2007. Pressure ulcers in neonates and children: an NPUAP white paper. Adv Skin Wound Care 20 (4), 208, 210, 212, 214, 216, 218-220.</w:t>
      </w:r>
    </w:p>
    <w:p w14:paraId="591E754A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1DC3C3AD" w14:textId="00867C24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Chamblee, T.B.,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Pasek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T.A.,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Caillouette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C.N., Stellar, J.J., Quigley, S.M., Curley, M.A.Q., 2018. CE: How to Predict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Pediatric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Pressure Injury Risk with the Braden QD Scale. Am J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Nurs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118 (11), 34-43.</w:t>
      </w:r>
    </w:p>
    <w:p w14:paraId="425525E7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A36984A" w14:textId="579BEAEE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Delmore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B.,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Deppisch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M., Sylvia, C., Luna-Anderson, C.,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Nie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A.M., 2019. Pressure Injuries in the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Pediatric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Population: A National Pressure Ulcer Advisory Panel White Paper. Adv Skin Wound Care 32 (9), 394-408.</w:t>
      </w:r>
    </w:p>
    <w:p w14:paraId="139093DD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1B7D43EC" w14:textId="1B6AD835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F30ADD">
        <w:rPr>
          <w:rFonts w:ascii="Arial" w:hAnsi="Arial" w:cs="Arial"/>
          <w:bCs/>
          <w:i/>
          <w:iCs/>
          <w:sz w:val="24"/>
          <w:szCs w:val="24"/>
        </w:rPr>
        <w:t>Fletcher ,</w:t>
      </w:r>
      <w:proofErr w:type="gram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J., Crook , H., Harris, R., 2013. Monitoring pressure ulcer prevalence: a precise methodology</w:t>
      </w:r>
      <w:proofErr w:type="gramStart"/>
      <w:r w:rsidRPr="00F30ADD">
        <w:rPr>
          <w:rFonts w:ascii="Arial" w:hAnsi="Arial" w:cs="Arial"/>
          <w:bCs/>
          <w:i/>
          <w:iCs/>
          <w:sz w:val="24"/>
          <w:szCs w:val="24"/>
        </w:rPr>
        <w:t>. .</w:t>
      </w:r>
      <w:proofErr w:type="gram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Wounds U K 9(4):49–53.</w:t>
      </w:r>
    </w:p>
    <w:p w14:paraId="6CF52605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FA38416" w14:textId="47BB1BA3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Gefen, A., Alves, P.,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Ciprandi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G., Coyer, F., Milne, C.T.,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Ousey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>, K., Ohura, N., Waters, N., Worsley, P., 2020. Device-related pressure ulcers: SECURE prevention. Journal of Wound Care 29 (Sup2a), S1-S52.</w:t>
      </w:r>
    </w:p>
    <w:p w14:paraId="70201FA4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F0F012E" w14:textId="3BA984F3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Kronman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M.P., Hall, M., Slonim, A.D., Shah, S.S., 2008. Charges and lengths of stay attributable to adverse patient-care events using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pediatric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-specific quality indicators: a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multicenter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study of freestanding children's hospitals.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Pediatrics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121 (6), e1653-1659.</w:t>
      </w:r>
    </w:p>
    <w:p w14:paraId="715E3F9B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DAD1C99" w14:textId="3872ADC1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Marufu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T.C.,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Setchell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B., Cutler, E.,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Dring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E., Wesley, T., Banks, A.,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Chatten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>, M., Dye, E., Cox, S., Boardman, R., Reilly, L., Manning, J.C., 2021. Pressure injury and risk in the inpatient paediatric and neonatal populations: A single centre point-prevalence study. Journal of Tissue Viability 30 (2), 231-236.</w:t>
      </w:r>
    </w:p>
    <w:p w14:paraId="2280A0E7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52F0016" w14:textId="5F49FAF1" w:rsidR="00B34483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Razmus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>, I., Bergquist-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Beringer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S., 2017. Pressure Injury Prevalence and the Rate of Hospital-Acquired Pressure Injury Among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Pediatric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Patients in Acute Care. J Wound Ostomy Continence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Nurs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44 (2), 110-117.</w:t>
      </w:r>
    </w:p>
    <w:p w14:paraId="342CDEF8" w14:textId="77777777" w:rsidR="005C4C75" w:rsidRPr="00F30ADD" w:rsidRDefault="005C4C75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7D26E97" w14:textId="44A0C67B" w:rsidR="005C4C75" w:rsidRPr="00F30ADD" w:rsidRDefault="005067AA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Setchell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B.,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Marufu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, T. C., Nelson, D., &amp; Manning, J. C. (2023). Effectiveness of preventative care strategies for reducing pressure injuries (PIs) in children aged 0-18 admitted to intensive care: A systematic review and meta-analysis. Journal of tissue viability, 32(2), 228–241. </w:t>
      </w:r>
      <w:hyperlink r:id="rId9" w:history="1">
        <w:r w:rsidRPr="00F30ADD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https://doi.org/10.1016/j.jtv.2023.04.001</w:t>
        </w:r>
      </w:hyperlink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66EB4834" w14:textId="77777777" w:rsidR="00F34CCC" w:rsidRPr="00F30ADD" w:rsidRDefault="00F34CCC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1DA94EFB" w14:textId="77777777" w:rsidR="00B24449" w:rsidRPr="00F30ADD" w:rsidRDefault="00B34483" w:rsidP="00F30ADD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30ADD">
        <w:rPr>
          <w:rFonts w:ascii="Arial" w:hAnsi="Arial" w:cs="Arial"/>
          <w:bCs/>
          <w:i/>
          <w:iCs/>
          <w:sz w:val="24"/>
          <w:szCs w:val="24"/>
        </w:rPr>
        <w:t xml:space="preserve">Willock, J., </w:t>
      </w:r>
      <w:proofErr w:type="spellStart"/>
      <w:r w:rsidRPr="00F30ADD">
        <w:rPr>
          <w:rFonts w:ascii="Arial" w:hAnsi="Arial" w:cs="Arial"/>
          <w:bCs/>
          <w:i/>
          <w:iCs/>
          <w:sz w:val="24"/>
          <w:szCs w:val="24"/>
        </w:rPr>
        <w:t>Habiballah</w:t>
      </w:r>
      <w:proofErr w:type="spellEnd"/>
      <w:r w:rsidRPr="00F30ADD">
        <w:rPr>
          <w:rFonts w:ascii="Arial" w:hAnsi="Arial" w:cs="Arial"/>
          <w:bCs/>
          <w:i/>
          <w:iCs/>
          <w:sz w:val="24"/>
          <w:szCs w:val="24"/>
        </w:rPr>
        <w:t>, L., Long, D., Palmer, K., Anthony, D., 2016. A comparison of the performance of the Braden Q and the Glamorgan paediatric pressure ulcer risk assessment scales in general and intensive care paediatric and neonatal units. J Tissue Viability 25 (2), 119-126.</w:t>
      </w:r>
    </w:p>
    <w:p w14:paraId="6F80CB2D" w14:textId="77777777" w:rsidR="00D408A7" w:rsidRPr="00F30ADD" w:rsidRDefault="00D408A7" w:rsidP="00F30AD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3AFF67E6" w14:textId="77777777" w:rsidR="000B797E" w:rsidRPr="00F30ADD" w:rsidRDefault="000B797E" w:rsidP="00F30A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Entry requirements:</w:t>
      </w:r>
    </w:p>
    <w:p w14:paraId="7341B858" w14:textId="77777777" w:rsidR="00B24449" w:rsidRPr="00F30ADD" w:rsidRDefault="00B24449" w:rsidP="00F30ADD">
      <w:pPr>
        <w:jc w:val="both"/>
        <w:rPr>
          <w:rFonts w:ascii="Arial" w:hAnsi="Arial" w:cs="Arial"/>
          <w:sz w:val="24"/>
          <w:szCs w:val="24"/>
        </w:rPr>
      </w:pPr>
      <w:r w:rsidRPr="00F30ADD">
        <w:rPr>
          <w:rFonts w:ascii="Arial" w:hAnsi="Arial" w:cs="Arial"/>
          <w:sz w:val="24"/>
          <w:szCs w:val="24"/>
        </w:rPr>
        <w:t xml:space="preserve">Applicants are required to hold/or expect to obtain a UK Bachelor Degree 2:1 or better in a relevant subject.  </w:t>
      </w:r>
    </w:p>
    <w:p w14:paraId="6D3878D1" w14:textId="77777777" w:rsidR="00F30ADD" w:rsidRPr="00F30ADD" w:rsidRDefault="00F30ADD" w:rsidP="00F30ADD">
      <w:pPr>
        <w:jc w:val="both"/>
        <w:rPr>
          <w:rFonts w:ascii="Arial" w:hAnsi="Arial" w:cs="Arial"/>
          <w:sz w:val="24"/>
          <w:szCs w:val="24"/>
        </w:rPr>
      </w:pPr>
      <w:r w:rsidRPr="00F30ADD">
        <w:rPr>
          <w:rFonts w:ascii="Arial" w:hAnsi="Arial" w:cs="Arial"/>
          <w:sz w:val="24"/>
          <w:szCs w:val="24"/>
        </w:rPr>
        <w:t xml:space="preserve">The University of Leicester English language requirements apply where applicable: </w:t>
      </w:r>
      <w:hyperlink r:id="rId10" w:history="1">
        <w:r w:rsidRPr="00F30ADD">
          <w:rPr>
            <w:rStyle w:val="Hyperlink"/>
            <w:rFonts w:ascii="Arial" w:hAnsi="Arial" w:cs="Arial"/>
            <w:sz w:val="24"/>
            <w:szCs w:val="24"/>
          </w:rPr>
          <w:t>https://le.ac.uk/study/research-degrees/entry-reqs/eng-lang-reqs/ielts-70</w:t>
        </w:r>
      </w:hyperlink>
    </w:p>
    <w:p w14:paraId="2A7FE123" w14:textId="77777777" w:rsidR="00F30ADD" w:rsidRPr="00F30ADD" w:rsidRDefault="00F30ADD" w:rsidP="00F30ADD">
      <w:pPr>
        <w:jc w:val="both"/>
        <w:rPr>
          <w:rFonts w:ascii="Arial" w:hAnsi="Arial" w:cs="Arial"/>
          <w:sz w:val="24"/>
          <w:szCs w:val="24"/>
        </w:rPr>
      </w:pPr>
    </w:p>
    <w:p w14:paraId="06ECD542" w14:textId="77777777" w:rsidR="00F30ADD" w:rsidRPr="00F30ADD" w:rsidRDefault="00F30ADD" w:rsidP="00F30AD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F30ADD">
        <w:rPr>
          <w:rFonts w:ascii="Arial" w:hAnsi="Arial" w:cs="Arial"/>
          <w:b/>
          <w:sz w:val="24"/>
          <w:szCs w:val="24"/>
        </w:rPr>
        <w:t>Application advice:</w:t>
      </w:r>
    </w:p>
    <w:p w14:paraId="46BDFAC6" w14:textId="77777777" w:rsidR="00F30ADD" w:rsidRPr="00F30ADD" w:rsidRDefault="00F30ADD" w:rsidP="00F30ADD">
      <w:pPr>
        <w:jc w:val="both"/>
        <w:rPr>
          <w:rFonts w:ascii="Arial" w:hAnsi="Arial" w:cs="Arial"/>
          <w:sz w:val="24"/>
          <w:szCs w:val="24"/>
        </w:rPr>
      </w:pPr>
      <w:r w:rsidRPr="00F30ADD">
        <w:rPr>
          <w:rFonts w:ascii="Arial" w:hAnsi="Arial" w:cs="Arial"/>
          <w:sz w:val="24"/>
          <w:szCs w:val="24"/>
        </w:rPr>
        <w:t xml:space="preserve">To apply please refer to: </w:t>
      </w:r>
      <w:hyperlink r:id="rId11" w:history="1">
        <w:r w:rsidRPr="00F30ADD">
          <w:rPr>
            <w:rStyle w:val="Hyperlink"/>
            <w:rFonts w:ascii="Arial" w:hAnsi="Arial" w:cs="Arial"/>
            <w:sz w:val="24"/>
            <w:szCs w:val="24"/>
          </w:rPr>
          <w:t>https://le.ac.uk/study/research-degrees/research-subjects/school-of-healthcare</w:t>
        </w:r>
      </w:hyperlink>
    </w:p>
    <w:p w14:paraId="014A67CF" w14:textId="77777777" w:rsidR="00F30ADD" w:rsidRPr="00F30ADD" w:rsidRDefault="00F30ADD" w:rsidP="00F30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With your application, please include:</w:t>
      </w:r>
    </w:p>
    <w:p w14:paraId="1E7D1691" w14:textId="77777777" w:rsidR="00F30ADD" w:rsidRPr="00F30ADD" w:rsidRDefault="00F30ADD" w:rsidP="00F30A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sz w:val="24"/>
          <w:szCs w:val="24"/>
          <w:lang w:eastAsia="en-GB"/>
        </w:rPr>
        <w:t>CV</w:t>
      </w:r>
    </w:p>
    <w:p w14:paraId="3FD76C27" w14:textId="77777777" w:rsidR="00F30ADD" w:rsidRPr="00F30ADD" w:rsidRDefault="00F30ADD" w:rsidP="00F30A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sz w:val="24"/>
          <w:szCs w:val="24"/>
          <w:lang w:eastAsia="en-GB"/>
        </w:rPr>
        <w:t>Personal statement explaining your interest in the project, your experience, why we should consider you in addition to confirmation of how you will pay your fees.</w:t>
      </w:r>
    </w:p>
    <w:p w14:paraId="465CF157" w14:textId="77777777" w:rsidR="00F30ADD" w:rsidRPr="00F30ADD" w:rsidRDefault="00F30ADD" w:rsidP="00F30A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sz w:val="24"/>
          <w:szCs w:val="24"/>
          <w:lang w:eastAsia="en-GB"/>
        </w:rPr>
        <w:t xml:space="preserve">Degree Certificates and Transcripts of study already completed and if </w:t>
      </w:r>
      <w:proofErr w:type="gramStart"/>
      <w:r w:rsidRPr="00F30ADD">
        <w:rPr>
          <w:rFonts w:ascii="Arial" w:eastAsia="Times New Roman" w:hAnsi="Arial" w:cs="Arial"/>
          <w:sz w:val="24"/>
          <w:szCs w:val="24"/>
          <w:lang w:eastAsia="en-GB"/>
        </w:rPr>
        <w:t>possible</w:t>
      </w:r>
      <w:proofErr w:type="gramEnd"/>
      <w:r w:rsidRPr="00F30ADD">
        <w:rPr>
          <w:rFonts w:ascii="Arial" w:eastAsia="Times New Roman" w:hAnsi="Arial" w:cs="Arial"/>
          <w:sz w:val="24"/>
          <w:szCs w:val="24"/>
          <w:lang w:eastAsia="en-GB"/>
        </w:rPr>
        <w:t xml:space="preserve"> transcript to date of study currently being undertaken</w:t>
      </w:r>
    </w:p>
    <w:p w14:paraId="76A37E9A" w14:textId="77777777" w:rsidR="00F30ADD" w:rsidRPr="00F30ADD" w:rsidRDefault="00F30ADD" w:rsidP="00F30A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sz w:val="24"/>
          <w:szCs w:val="24"/>
          <w:lang w:eastAsia="en-GB"/>
        </w:rPr>
        <w:t>Evidence of English language proficiency if applicable</w:t>
      </w:r>
    </w:p>
    <w:p w14:paraId="793CDEA4" w14:textId="77777777" w:rsidR="00F30ADD" w:rsidRPr="00F30ADD" w:rsidRDefault="00F30ADD" w:rsidP="00F30A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sz w:val="24"/>
          <w:szCs w:val="24"/>
          <w:lang w:eastAsia="en-GB"/>
        </w:rPr>
        <w:t>In the reference section please enter the contact details of your two academic referees in the boxes provided or upload letters of reference if already available.</w:t>
      </w:r>
    </w:p>
    <w:p w14:paraId="2F362DCB" w14:textId="77777777" w:rsidR="00F30ADD" w:rsidRPr="00F30ADD" w:rsidRDefault="00F30ADD" w:rsidP="00F30AD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F30A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GB"/>
        </w:rPr>
        <w:t>In the proposal section please provide the name of the supervisors and project title (a proposal is not required)</w:t>
      </w:r>
    </w:p>
    <w:p w14:paraId="4C879418" w14:textId="77777777" w:rsidR="00F30ADD" w:rsidRPr="00F30ADD" w:rsidRDefault="00F30ADD" w:rsidP="00F30ADD">
      <w:pPr>
        <w:jc w:val="both"/>
        <w:rPr>
          <w:rFonts w:ascii="Arial" w:hAnsi="Arial" w:cs="Arial"/>
          <w:sz w:val="24"/>
          <w:szCs w:val="24"/>
        </w:rPr>
      </w:pPr>
    </w:p>
    <w:p w14:paraId="08494446" w14:textId="77777777" w:rsidR="00F30ADD" w:rsidRPr="00F30ADD" w:rsidRDefault="00F30ADD" w:rsidP="00F30ADD">
      <w:pPr>
        <w:jc w:val="both"/>
        <w:rPr>
          <w:rFonts w:ascii="Arial" w:hAnsi="Arial" w:cs="Arial"/>
          <w:sz w:val="24"/>
          <w:szCs w:val="24"/>
        </w:rPr>
      </w:pPr>
      <w:r w:rsidRPr="00F30ADD">
        <w:rPr>
          <w:rFonts w:ascii="Arial" w:hAnsi="Arial" w:cs="Arial"/>
          <w:sz w:val="24"/>
          <w:szCs w:val="24"/>
        </w:rPr>
        <w:t xml:space="preserve">Application and project queries to </w:t>
      </w:r>
      <w:hyperlink r:id="rId12" w:history="1">
        <w:r w:rsidRPr="00F30ADD">
          <w:rPr>
            <w:rStyle w:val="Hyperlink"/>
            <w:rFonts w:ascii="Arial" w:hAnsi="Arial" w:cs="Arial"/>
            <w:sz w:val="24"/>
            <w:szCs w:val="24"/>
          </w:rPr>
          <w:t>soh-pgr@le.ac.uk</w:t>
        </w:r>
      </w:hyperlink>
    </w:p>
    <w:p w14:paraId="0842FEA8" w14:textId="77777777" w:rsidR="00B90549" w:rsidRPr="00F30ADD" w:rsidRDefault="00B90549" w:rsidP="00F30ADD">
      <w:pPr>
        <w:jc w:val="both"/>
        <w:rPr>
          <w:rFonts w:ascii="Arial" w:hAnsi="Arial" w:cs="Arial"/>
          <w:b/>
          <w:sz w:val="24"/>
          <w:szCs w:val="24"/>
        </w:rPr>
      </w:pPr>
    </w:p>
    <w:sectPr w:rsidR="00B90549" w:rsidRPr="00F30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50E4A"/>
    <w:multiLevelType w:val="hybridMultilevel"/>
    <w:tmpl w:val="E428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04F9F"/>
    <w:rsid w:val="0002495F"/>
    <w:rsid w:val="00072DEA"/>
    <w:rsid w:val="000B2A76"/>
    <w:rsid w:val="000B3A13"/>
    <w:rsid w:val="000B797E"/>
    <w:rsid w:val="000E04E7"/>
    <w:rsid w:val="00104A6B"/>
    <w:rsid w:val="00135FB5"/>
    <w:rsid w:val="00186CBA"/>
    <w:rsid w:val="0019477B"/>
    <w:rsid w:val="001D5461"/>
    <w:rsid w:val="002115D5"/>
    <w:rsid w:val="00226C56"/>
    <w:rsid w:val="00242BA4"/>
    <w:rsid w:val="00317FFB"/>
    <w:rsid w:val="00330074"/>
    <w:rsid w:val="0033226B"/>
    <w:rsid w:val="00352E28"/>
    <w:rsid w:val="003660F3"/>
    <w:rsid w:val="003A7DE6"/>
    <w:rsid w:val="003E3E31"/>
    <w:rsid w:val="003E670C"/>
    <w:rsid w:val="003F276D"/>
    <w:rsid w:val="00426492"/>
    <w:rsid w:val="004C2F09"/>
    <w:rsid w:val="004F1B24"/>
    <w:rsid w:val="004F3116"/>
    <w:rsid w:val="005067AA"/>
    <w:rsid w:val="005251DE"/>
    <w:rsid w:val="0053044F"/>
    <w:rsid w:val="00560379"/>
    <w:rsid w:val="005C4C75"/>
    <w:rsid w:val="005E7E07"/>
    <w:rsid w:val="005F7F9C"/>
    <w:rsid w:val="00686A5A"/>
    <w:rsid w:val="0072230C"/>
    <w:rsid w:val="00732867"/>
    <w:rsid w:val="007656D2"/>
    <w:rsid w:val="00797C94"/>
    <w:rsid w:val="007B6D57"/>
    <w:rsid w:val="007E3056"/>
    <w:rsid w:val="007E6A67"/>
    <w:rsid w:val="008222D7"/>
    <w:rsid w:val="008225EC"/>
    <w:rsid w:val="008608FE"/>
    <w:rsid w:val="008862CC"/>
    <w:rsid w:val="00894221"/>
    <w:rsid w:val="008D3B12"/>
    <w:rsid w:val="00940A38"/>
    <w:rsid w:val="009B7442"/>
    <w:rsid w:val="00A5584E"/>
    <w:rsid w:val="00AA0283"/>
    <w:rsid w:val="00AA5760"/>
    <w:rsid w:val="00B24449"/>
    <w:rsid w:val="00B34483"/>
    <w:rsid w:val="00B90549"/>
    <w:rsid w:val="00BB2974"/>
    <w:rsid w:val="00C208EA"/>
    <w:rsid w:val="00C21D32"/>
    <w:rsid w:val="00C50B10"/>
    <w:rsid w:val="00C73E0B"/>
    <w:rsid w:val="00C75AA1"/>
    <w:rsid w:val="00D1675B"/>
    <w:rsid w:val="00D408A7"/>
    <w:rsid w:val="00D4438C"/>
    <w:rsid w:val="00D9468D"/>
    <w:rsid w:val="00DB002C"/>
    <w:rsid w:val="00DC7AB5"/>
    <w:rsid w:val="00DE3B90"/>
    <w:rsid w:val="00E53E99"/>
    <w:rsid w:val="00E7657A"/>
    <w:rsid w:val="00E92247"/>
    <w:rsid w:val="00F30ADD"/>
    <w:rsid w:val="00F34CCC"/>
    <w:rsid w:val="00F5170D"/>
    <w:rsid w:val="00F80EDE"/>
    <w:rsid w:val="00F86761"/>
    <w:rsid w:val="00FD74CF"/>
    <w:rsid w:val="00FF0615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C56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4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3044F"/>
  </w:style>
  <w:style w:type="character" w:styleId="UnresolvedMention">
    <w:name w:val="Unresolved Mention"/>
    <w:basedOn w:val="DefaultParagraphFont"/>
    <w:uiPriority w:val="99"/>
    <w:semiHidden/>
    <w:unhideWhenUsed/>
    <w:rsid w:val="00F3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study/research-degrees/research-subjects/school-of-healthca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kawira.marufu@nuh.nhs.uk" TargetMode="External"/><Relationship Id="rId12" Type="http://schemas.openxmlformats.org/officeDocument/2006/relationships/hyperlink" Target="mailto:soh-pgr@l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manning@leicester.ac.uk" TargetMode="External"/><Relationship Id="rId11" Type="http://schemas.openxmlformats.org/officeDocument/2006/relationships/hyperlink" Target="https://le.ac.uk/study/research-degrees/research-subjects/school-of-healthc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.ac.uk/study/research-degrees/entry-reqs/eng-lang-reqs/ielts-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tv.2023.04.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DC56-159F-4CCF-A14E-7A689FD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6479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Parker, Kathryn</cp:lastModifiedBy>
  <cp:revision>2</cp:revision>
  <dcterms:created xsi:type="dcterms:W3CDTF">2024-06-06T08:21:00Z</dcterms:created>
  <dcterms:modified xsi:type="dcterms:W3CDTF">2024-06-06T08:21:00Z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4308b1717bdb6afbc6bef627d63515bf6af5a537d109cb954476dd5f0df0e59d</vt:lpwstr>
  </property>
</Properties>
</file>