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F844" w14:textId="79E82D8E" w:rsidR="00B90549" w:rsidRPr="0044057B" w:rsidRDefault="00B90549" w:rsidP="005D4D55">
      <w:pPr>
        <w:spacing w:after="0" w:line="240" w:lineRule="auto"/>
        <w:jc w:val="both"/>
        <w:rPr>
          <w:rFonts w:ascii="Arial" w:hAnsi="Arial" w:cs="Arial"/>
          <w:b/>
          <w:sz w:val="24"/>
          <w:szCs w:val="24"/>
        </w:rPr>
      </w:pPr>
      <w:bookmarkStart w:id="0" w:name="_Hlk167794942"/>
      <w:r w:rsidRPr="0044057B">
        <w:rPr>
          <w:rFonts w:ascii="Arial" w:hAnsi="Arial" w:cs="Arial"/>
          <w:b/>
          <w:sz w:val="24"/>
          <w:szCs w:val="24"/>
        </w:rPr>
        <w:t>Funding Source:</w:t>
      </w:r>
      <w:r w:rsidR="00D408A7" w:rsidRPr="0044057B">
        <w:rPr>
          <w:rFonts w:ascii="Arial" w:hAnsi="Arial" w:cs="Arial"/>
          <w:b/>
          <w:sz w:val="24"/>
          <w:szCs w:val="24"/>
        </w:rPr>
        <w:t xml:space="preserve"> Self-funded</w:t>
      </w:r>
      <w:r w:rsidR="0044057B" w:rsidRPr="0044057B">
        <w:rPr>
          <w:rFonts w:ascii="Arial" w:hAnsi="Arial" w:cs="Arial"/>
          <w:b/>
          <w:sz w:val="24"/>
          <w:szCs w:val="24"/>
        </w:rPr>
        <w:t xml:space="preserve"> </w:t>
      </w:r>
      <w:r w:rsidR="00681329" w:rsidRPr="0044057B">
        <w:rPr>
          <w:rFonts w:ascii="Arial" w:hAnsi="Arial" w:cs="Arial"/>
          <w:b/>
          <w:sz w:val="24"/>
          <w:szCs w:val="24"/>
        </w:rPr>
        <w:t>/</w:t>
      </w:r>
      <w:r w:rsidR="0044057B" w:rsidRPr="0044057B">
        <w:rPr>
          <w:rFonts w:ascii="Arial" w:hAnsi="Arial" w:cs="Arial"/>
          <w:b/>
          <w:sz w:val="24"/>
          <w:szCs w:val="24"/>
        </w:rPr>
        <w:t xml:space="preserve"> own </w:t>
      </w:r>
      <w:r w:rsidR="00681329" w:rsidRPr="0044057B">
        <w:rPr>
          <w:rFonts w:ascii="Arial" w:hAnsi="Arial" w:cs="Arial"/>
          <w:b/>
          <w:sz w:val="24"/>
          <w:szCs w:val="24"/>
        </w:rPr>
        <w:t>sponsor</w:t>
      </w:r>
    </w:p>
    <w:p w14:paraId="419CE985" w14:textId="77777777" w:rsidR="005D4D55" w:rsidRDefault="005D4D55" w:rsidP="005D4D55">
      <w:pPr>
        <w:spacing w:after="0" w:line="240" w:lineRule="auto"/>
        <w:jc w:val="both"/>
        <w:rPr>
          <w:rFonts w:ascii="Arial" w:hAnsi="Arial" w:cs="Arial"/>
          <w:b/>
          <w:sz w:val="24"/>
          <w:szCs w:val="24"/>
        </w:rPr>
      </w:pPr>
    </w:p>
    <w:p w14:paraId="560D2DEE" w14:textId="3D92BE57" w:rsidR="00186CBA" w:rsidRPr="0044057B" w:rsidRDefault="00B90549" w:rsidP="005D4D55">
      <w:pPr>
        <w:spacing w:after="0" w:line="240" w:lineRule="auto"/>
        <w:jc w:val="both"/>
        <w:rPr>
          <w:rFonts w:ascii="Arial" w:hAnsi="Arial" w:cs="Arial"/>
          <w:b/>
          <w:sz w:val="24"/>
          <w:szCs w:val="24"/>
        </w:rPr>
      </w:pPr>
      <w:r w:rsidRPr="0044057B">
        <w:rPr>
          <w:rFonts w:ascii="Arial" w:hAnsi="Arial" w:cs="Arial"/>
          <w:b/>
          <w:sz w:val="24"/>
          <w:szCs w:val="24"/>
        </w:rPr>
        <w:t xml:space="preserve">Proposed </w:t>
      </w:r>
      <w:r w:rsidR="00DC7AB5" w:rsidRPr="0044057B">
        <w:rPr>
          <w:rFonts w:ascii="Arial" w:hAnsi="Arial" w:cs="Arial"/>
          <w:b/>
          <w:sz w:val="24"/>
          <w:szCs w:val="24"/>
        </w:rPr>
        <w:t>start</w:t>
      </w:r>
      <w:r w:rsidR="00E7657A" w:rsidRPr="0044057B">
        <w:rPr>
          <w:rFonts w:ascii="Arial" w:hAnsi="Arial" w:cs="Arial"/>
          <w:b/>
          <w:sz w:val="24"/>
          <w:szCs w:val="24"/>
        </w:rPr>
        <w:t xml:space="preserve"> date</w:t>
      </w:r>
      <w:r w:rsidRPr="0044057B">
        <w:rPr>
          <w:rFonts w:ascii="Arial" w:hAnsi="Arial" w:cs="Arial"/>
          <w:b/>
          <w:sz w:val="24"/>
          <w:szCs w:val="24"/>
        </w:rPr>
        <w:t>:</w:t>
      </w:r>
      <w:r w:rsidR="00681329" w:rsidRPr="0044057B">
        <w:rPr>
          <w:rFonts w:ascii="Arial" w:hAnsi="Arial" w:cs="Arial"/>
          <w:b/>
          <w:sz w:val="24"/>
          <w:szCs w:val="24"/>
        </w:rPr>
        <w:t xml:space="preserve"> to be confirmed/negotiable</w:t>
      </w:r>
    </w:p>
    <w:p w14:paraId="06B56B47" w14:textId="77777777" w:rsidR="005D4D55" w:rsidRDefault="005D4D55" w:rsidP="005D4D55">
      <w:pPr>
        <w:spacing w:after="0" w:line="240" w:lineRule="auto"/>
        <w:jc w:val="both"/>
        <w:rPr>
          <w:rFonts w:ascii="Arial" w:hAnsi="Arial" w:cs="Arial"/>
          <w:b/>
          <w:sz w:val="24"/>
          <w:szCs w:val="24"/>
        </w:rPr>
      </w:pPr>
    </w:p>
    <w:p w14:paraId="52A7EC96" w14:textId="3BB76BF5" w:rsidR="00797C94" w:rsidRPr="0044057B" w:rsidRDefault="00797C94" w:rsidP="005D4D55">
      <w:pPr>
        <w:spacing w:after="0" w:line="240" w:lineRule="auto"/>
        <w:jc w:val="both"/>
        <w:rPr>
          <w:rFonts w:ascii="Arial" w:hAnsi="Arial" w:cs="Arial"/>
          <w:b/>
          <w:sz w:val="24"/>
          <w:szCs w:val="24"/>
        </w:rPr>
      </w:pPr>
      <w:r w:rsidRPr="0044057B">
        <w:rPr>
          <w:rFonts w:ascii="Arial" w:hAnsi="Arial" w:cs="Arial"/>
          <w:b/>
          <w:sz w:val="24"/>
          <w:szCs w:val="24"/>
        </w:rPr>
        <w:t xml:space="preserve">Closing date </w:t>
      </w:r>
      <w:r w:rsidR="00B90549" w:rsidRPr="0044057B">
        <w:rPr>
          <w:rFonts w:ascii="Arial" w:hAnsi="Arial" w:cs="Arial"/>
          <w:b/>
          <w:sz w:val="24"/>
          <w:szCs w:val="24"/>
        </w:rPr>
        <w:t>for applications:</w:t>
      </w:r>
      <w:r w:rsidR="00D408A7" w:rsidRPr="0044057B">
        <w:rPr>
          <w:rFonts w:ascii="Arial" w:hAnsi="Arial" w:cs="Arial"/>
          <w:b/>
          <w:sz w:val="24"/>
          <w:szCs w:val="24"/>
        </w:rPr>
        <w:t xml:space="preserve"> open until filled</w:t>
      </w:r>
    </w:p>
    <w:p w14:paraId="713C9A22" w14:textId="77777777" w:rsidR="005D4D55" w:rsidRDefault="005D4D55" w:rsidP="005D4D55">
      <w:pPr>
        <w:spacing w:after="0" w:line="240" w:lineRule="auto"/>
        <w:jc w:val="both"/>
        <w:rPr>
          <w:rStyle w:val="Hyperlink"/>
          <w:rFonts w:ascii="Arial" w:hAnsi="Arial" w:cs="Arial"/>
          <w:b/>
          <w:color w:val="auto"/>
          <w:sz w:val="24"/>
          <w:szCs w:val="24"/>
          <w:u w:val="none"/>
        </w:rPr>
      </w:pPr>
    </w:p>
    <w:p w14:paraId="0F2C0A44" w14:textId="78E12B07" w:rsidR="00D9468D" w:rsidRPr="0044057B" w:rsidRDefault="00186CBA" w:rsidP="005D4D55">
      <w:pPr>
        <w:spacing w:after="0" w:line="240" w:lineRule="auto"/>
        <w:jc w:val="both"/>
        <w:rPr>
          <w:rStyle w:val="Hyperlink"/>
          <w:rFonts w:ascii="Arial" w:hAnsi="Arial" w:cs="Arial"/>
          <w:b/>
          <w:color w:val="auto"/>
          <w:sz w:val="24"/>
          <w:szCs w:val="24"/>
          <w:u w:val="none"/>
        </w:rPr>
      </w:pPr>
      <w:r w:rsidRPr="0044057B">
        <w:rPr>
          <w:rStyle w:val="Hyperlink"/>
          <w:rFonts w:ascii="Arial" w:hAnsi="Arial" w:cs="Arial"/>
          <w:b/>
          <w:color w:val="auto"/>
          <w:sz w:val="24"/>
          <w:szCs w:val="24"/>
          <w:u w:val="none"/>
        </w:rPr>
        <w:t>Eligibility:</w:t>
      </w:r>
      <w:r w:rsidR="00797C94" w:rsidRPr="0044057B">
        <w:rPr>
          <w:rStyle w:val="Hyperlink"/>
          <w:rFonts w:ascii="Arial" w:hAnsi="Arial" w:cs="Arial"/>
          <w:b/>
          <w:color w:val="auto"/>
          <w:sz w:val="24"/>
          <w:szCs w:val="24"/>
          <w:u w:val="none"/>
        </w:rPr>
        <w:t xml:space="preserve"> UK/Inter</w:t>
      </w:r>
      <w:r w:rsidR="00B90549" w:rsidRPr="0044057B">
        <w:rPr>
          <w:rStyle w:val="Hyperlink"/>
          <w:rFonts w:ascii="Arial" w:hAnsi="Arial" w:cs="Arial"/>
          <w:b/>
          <w:color w:val="auto"/>
          <w:sz w:val="24"/>
          <w:szCs w:val="24"/>
          <w:u w:val="none"/>
        </w:rPr>
        <w:t>n</w:t>
      </w:r>
      <w:r w:rsidR="00797C94" w:rsidRPr="0044057B">
        <w:rPr>
          <w:rStyle w:val="Hyperlink"/>
          <w:rFonts w:ascii="Arial" w:hAnsi="Arial" w:cs="Arial"/>
          <w:b/>
          <w:color w:val="auto"/>
          <w:sz w:val="24"/>
          <w:szCs w:val="24"/>
          <w:u w:val="none"/>
        </w:rPr>
        <w:t>ational</w:t>
      </w:r>
    </w:p>
    <w:p w14:paraId="2D21349C" w14:textId="77777777" w:rsidR="005D4D55" w:rsidRDefault="005D4D55" w:rsidP="005D4D55">
      <w:pPr>
        <w:spacing w:after="0" w:line="240" w:lineRule="auto"/>
        <w:jc w:val="both"/>
        <w:rPr>
          <w:rFonts w:ascii="Arial" w:hAnsi="Arial" w:cs="Arial"/>
          <w:b/>
          <w:i/>
          <w:iCs/>
          <w:sz w:val="24"/>
          <w:szCs w:val="24"/>
        </w:rPr>
      </w:pPr>
    </w:p>
    <w:p w14:paraId="1837C4CF" w14:textId="3CF20E73" w:rsidR="00F73E87" w:rsidRPr="0044057B" w:rsidRDefault="0044057B" w:rsidP="005D4D55">
      <w:pPr>
        <w:spacing w:after="0" w:line="240" w:lineRule="auto"/>
        <w:jc w:val="both"/>
        <w:rPr>
          <w:rFonts w:ascii="Arial" w:hAnsi="Arial" w:cs="Arial"/>
          <w:b/>
          <w:i/>
          <w:iCs/>
          <w:sz w:val="24"/>
          <w:szCs w:val="24"/>
        </w:rPr>
      </w:pPr>
      <w:r w:rsidRPr="0044057B">
        <w:rPr>
          <w:rFonts w:ascii="Arial" w:hAnsi="Arial" w:cs="Arial"/>
          <w:b/>
          <w:i/>
          <w:iCs/>
          <w:sz w:val="24"/>
          <w:szCs w:val="24"/>
        </w:rPr>
        <w:t xml:space="preserve">International </w:t>
      </w:r>
      <w:r w:rsidR="00D9468D" w:rsidRPr="0044057B">
        <w:rPr>
          <w:rFonts w:ascii="Arial" w:hAnsi="Arial" w:cs="Arial"/>
          <w:b/>
          <w:i/>
          <w:iCs/>
          <w:sz w:val="24"/>
          <w:szCs w:val="24"/>
        </w:rPr>
        <w:t>Tuition fee:</w:t>
      </w:r>
      <w:r w:rsidR="003A7DC7" w:rsidRPr="0044057B">
        <w:rPr>
          <w:rFonts w:ascii="Arial" w:hAnsi="Arial" w:cs="Arial"/>
          <w:b/>
          <w:i/>
          <w:iCs/>
          <w:sz w:val="24"/>
          <w:szCs w:val="24"/>
        </w:rPr>
        <w:t xml:space="preserve"> </w:t>
      </w:r>
      <w:r w:rsidRPr="0044057B">
        <w:rPr>
          <w:rFonts w:ascii="Arial" w:hAnsi="Arial" w:cs="Arial"/>
          <w:b/>
          <w:i/>
          <w:iCs/>
          <w:sz w:val="24"/>
          <w:szCs w:val="24"/>
        </w:rPr>
        <w:t>£29,300 per annum</w:t>
      </w:r>
      <w:r w:rsidR="002837AA">
        <w:rPr>
          <w:rFonts w:ascii="Arial" w:hAnsi="Arial" w:cs="Arial"/>
          <w:b/>
          <w:i/>
          <w:iCs/>
          <w:sz w:val="24"/>
          <w:szCs w:val="24"/>
        </w:rPr>
        <w:t xml:space="preserve"> (2024/5 entry)</w:t>
      </w:r>
      <w:r w:rsidR="00F73E87" w:rsidRPr="0044057B">
        <w:rPr>
          <w:rFonts w:ascii="Arial" w:hAnsi="Arial" w:cs="Arial"/>
          <w:b/>
          <w:i/>
          <w:iCs/>
          <w:sz w:val="24"/>
          <w:szCs w:val="24"/>
        </w:rPr>
        <w:t xml:space="preserve">.  </w:t>
      </w:r>
    </w:p>
    <w:p w14:paraId="13F714D0" w14:textId="77777777" w:rsidR="005D4D55" w:rsidRDefault="005D4D55" w:rsidP="005D4D55">
      <w:pPr>
        <w:spacing w:after="0" w:line="240" w:lineRule="auto"/>
        <w:jc w:val="both"/>
        <w:rPr>
          <w:rFonts w:ascii="Arial" w:hAnsi="Arial" w:cs="Arial"/>
          <w:b/>
          <w:i/>
          <w:iCs/>
          <w:sz w:val="24"/>
          <w:szCs w:val="24"/>
        </w:rPr>
      </w:pPr>
    </w:p>
    <w:p w14:paraId="6561FD29" w14:textId="6DEC0E8C" w:rsidR="00F73E87" w:rsidRPr="0044057B" w:rsidRDefault="00F73E87" w:rsidP="005D4D55">
      <w:pPr>
        <w:spacing w:after="0" w:line="240" w:lineRule="auto"/>
        <w:jc w:val="both"/>
        <w:rPr>
          <w:rFonts w:ascii="Arial" w:hAnsi="Arial" w:cs="Arial"/>
          <w:b/>
          <w:i/>
          <w:iCs/>
          <w:sz w:val="24"/>
          <w:szCs w:val="24"/>
        </w:rPr>
      </w:pPr>
      <w:r w:rsidRPr="0044057B">
        <w:rPr>
          <w:rFonts w:ascii="Arial" w:hAnsi="Arial" w:cs="Arial"/>
          <w:b/>
          <w:i/>
          <w:iCs/>
          <w:sz w:val="24"/>
          <w:szCs w:val="24"/>
        </w:rPr>
        <w:t xml:space="preserve">Standard UK PhD tuition fees for </w:t>
      </w:r>
      <w:proofErr w:type="gramStart"/>
      <w:r w:rsidRPr="0044057B">
        <w:rPr>
          <w:rFonts w:ascii="Arial" w:hAnsi="Arial" w:cs="Arial"/>
          <w:b/>
          <w:i/>
          <w:iCs/>
          <w:sz w:val="24"/>
          <w:szCs w:val="24"/>
        </w:rPr>
        <w:t>Home</w:t>
      </w:r>
      <w:proofErr w:type="gramEnd"/>
      <w:r w:rsidRPr="0044057B">
        <w:rPr>
          <w:rFonts w:ascii="Arial" w:hAnsi="Arial" w:cs="Arial"/>
          <w:b/>
          <w:i/>
          <w:iCs/>
          <w:sz w:val="24"/>
          <w:szCs w:val="24"/>
        </w:rPr>
        <w:t xml:space="preserve"> students:  </w:t>
      </w:r>
      <w:r w:rsidRPr="0044057B">
        <w:rPr>
          <w:rFonts w:ascii="Arial" w:hAnsi="Arial" w:cs="Arial"/>
          <w:bCs/>
          <w:i/>
          <w:iCs/>
          <w:sz w:val="24"/>
          <w:szCs w:val="24"/>
        </w:rPr>
        <w:t xml:space="preserve">full-time </w:t>
      </w:r>
      <w:r w:rsidRPr="0044057B">
        <w:rPr>
          <w:rFonts w:ascii="Arial" w:hAnsi="Arial" w:cs="Arial"/>
          <w:bCs/>
          <w:i/>
          <w:iCs/>
          <w:sz w:val="24"/>
          <w:szCs w:val="24"/>
          <w:shd w:val="clear" w:color="auto" w:fill="FFFFFF"/>
        </w:rPr>
        <w:t>£4,786,</w:t>
      </w:r>
      <w:r w:rsidRPr="0044057B">
        <w:rPr>
          <w:rFonts w:ascii="Arial" w:hAnsi="Arial" w:cs="Arial"/>
          <w:bCs/>
          <w:i/>
          <w:iCs/>
          <w:sz w:val="24"/>
          <w:szCs w:val="24"/>
        </w:rPr>
        <w:t xml:space="preserve"> part-time </w:t>
      </w:r>
      <w:r w:rsidRPr="0044057B">
        <w:rPr>
          <w:rFonts w:ascii="Arial" w:hAnsi="Arial" w:cs="Arial"/>
          <w:bCs/>
          <w:i/>
          <w:iCs/>
          <w:sz w:val="24"/>
          <w:szCs w:val="24"/>
          <w:shd w:val="clear" w:color="auto" w:fill="FFFFFF"/>
        </w:rPr>
        <w:t>£2,393</w:t>
      </w:r>
      <w:r w:rsidRPr="0044057B">
        <w:rPr>
          <w:rFonts w:ascii="Arial" w:hAnsi="Arial" w:cs="Arial"/>
          <w:bCs/>
          <w:i/>
          <w:iCs/>
          <w:sz w:val="24"/>
          <w:szCs w:val="24"/>
        </w:rPr>
        <w:t xml:space="preserve"> (2024/5 rates).  Please note that depending on your area of research there may be additional costs to allow for such as attendance at conferences, travel, training and consumables etc.</w:t>
      </w:r>
    </w:p>
    <w:p w14:paraId="7F1D50D6" w14:textId="77777777" w:rsidR="005D4D55" w:rsidRDefault="005D4D55" w:rsidP="005D4D55">
      <w:pPr>
        <w:spacing w:after="0" w:line="240" w:lineRule="auto"/>
        <w:jc w:val="both"/>
        <w:rPr>
          <w:rFonts w:ascii="Arial" w:hAnsi="Arial" w:cs="Arial"/>
          <w:b/>
          <w:sz w:val="24"/>
          <w:szCs w:val="24"/>
        </w:rPr>
      </w:pPr>
    </w:p>
    <w:p w14:paraId="3B9F9F78" w14:textId="08E61E19" w:rsidR="00B90549" w:rsidRPr="0044057B" w:rsidRDefault="00B90549" w:rsidP="005D4D55">
      <w:pPr>
        <w:spacing w:after="0" w:line="240" w:lineRule="auto"/>
        <w:jc w:val="both"/>
        <w:rPr>
          <w:rFonts w:ascii="Arial" w:hAnsi="Arial" w:cs="Arial"/>
          <w:b/>
          <w:sz w:val="24"/>
          <w:szCs w:val="24"/>
        </w:rPr>
      </w:pPr>
      <w:r w:rsidRPr="0044057B">
        <w:rPr>
          <w:rFonts w:ascii="Arial" w:hAnsi="Arial" w:cs="Arial"/>
          <w:b/>
          <w:sz w:val="24"/>
          <w:szCs w:val="24"/>
        </w:rPr>
        <w:t>Department/School:</w:t>
      </w:r>
      <w:r w:rsidR="00E559AB">
        <w:rPr>
          <w:rFonts w:ascii="Arial" w:hAnsi="Arial" w:cs="Arial"/>
          <w:b/>
          <w:sz w:val="24"/>
          <w:szCs w:val="24"/>
        </w:rPr>
        <w:tab/>
      </w:r>
      <w:r w:rsidR="003A7DC7" w:rsidRPr="0044057B">
        <w:rPr>
          <w:rFonts w:ascii="Arial" w:hAnsi="Arial" w:cs="Arial"/>
          <w:b/>
          <w:sz w:val="24"/>
          <w:szCs w:val="24"/>
        </w:rPr>
        <w:t>Healthcare</w:t>
      </w:r>
    </w:p>
    <w:bookmarkEnd w:id="0"/>
    <w:p w14:paraId="4D9D0D7D" w14:textId="77777777" w:rsidR="005D4D55" w:rsidRDefault="005D4D55" w:rsidP="005D4D55">
      <w:pPr>
        <w:spacing w:after="0" w:line="240" w:lineRule="auto"/>
        <w:jc w:val="both"/>
        <w:rPr>
          <w:rFonts w:ascii="Arial" w:hAnsi="Arial" w:cs="Arial"/>
          <w:b/>
          <w:sz w:val="24"/>
          <w:szCs w:val="24"/>
        </w:rPr>
      </w:pPr>
    </w:p>
    <w:p w14:paraId="13D22923" w14:textId="22B324F2" w:rsidR="005D4D55" w:rsidRPr="0092634F" w:rsidRDefault="005D4D55" w:rsidP="00E3437F">
      <w:pPr>
        <w:spacing w:after="0" w:line="240" w:lineRule="auto"/>
        <w:rPr>
          <w:rFonts w:ascii="Arial" w:hAnsi="Arial" w:cs="Arial"/>
          <w:b/>
          <w:sz w:val="24"/>
          <w:szCs w:val="24"/>
        </w:rPr>
      </w:pPr>
      <w:r w:rsidRPr="0092634F">
        <w:rPr>
          <w:rFonts w:ascii="Arial" w:hAnsi="Arial" w:cs="Arial"/>
          <w:b/>
          <w:sz w:val="24"/>
          <w:szCs w:val="24"/>
        </w:rPr>
        <w:t>Supervisors:</w:t>
      </w:r>
      <w:r>
        <w:rPr>
          <w:rFonts w:ascii="Arial" w:hAnsi="Arial" w:cs="Arial"/>
          <w:b/>
          <w:sz w:val="24"/>
          <w:szCs w:val="24"/>
        </w:rPr>
        <w:t xml:space="preserve"> </w:t>
      </w:r>
      <w:r w:rsidRPr="0092634F">
        <w:rPr>
          <w:rFonts w:ascii="Arial" w:eastAsia="Calibri" w:hAnsi="Arial" w:cs="Arial"/>
          <w:color w:val="000000" w:themeColor="text1"/>
          <w:sz w:val="24"/>
          <w:szCs w:val="24"/>
        </w:rPr>
        <w:t>Lesley McBride</w:t>
      </w:r>
      <w:r>
        <w:rPr>
          <w:rFonts w:ascii="Arial" w:eastAsia="Calibri" w:hAnsi="Arial" w:cs="Arial"/>
          <w:color w:val="000000" w:themeColor="text1"/>
          <w:sz w:val="24"/>
          <w:szCs w:val="24"/>
        </w:rPr>
        <w:t xml:space="preserve"> </w:t>
      </w:r>
      <w:hyperlink r:id="rId6" w:history="1">
        <w:r w:rsidRPr="00DD712E">
          <w:rPr>
            <w:rStyle w:val="Hyperlink"/>
            <w:rFonts w:ascii="Arial" w:eastAsia="Calibri" w:hAnsi="Arial" w:cs="Arial"/>
            <w:sz w:val="24"/>
            <w:szCs w:val="24"/>
          </w:rPr>
          <w:t>lm555@leicester.ac.uk</w:t>
        </w:r>
      </w:hyperlink>
      <w:r>
        <w:rPr>
          <w:rFonts w:ascii="Arial" w:eastAsia="Calibri" w:hAnsi="Arial" w:cs="Arial"/>
          <w:color w:val="000000" w:themeColor="text1"/>
          <w:sz w:val="24"/>
          <w:szCs w:val="24"/>
        </w:rPr>
        <w:t xml:space="preserve">, </w:t>
      </w:r>
      <w:r w:rsidRPr="0092634F">
        <w:rPr>
          <w:rFonts w:ascii="Arial" w:eastAsia="Calibri" w:hAnsi="Arial" w:cs="Arial"/>
          <w:color w:val="000000" w:themeColor="text1"/>
          <w:sz w:val="24"/>
          <w:szCs w:val="24"/>
        </w:rPr>
        <w:t>Seth O’Neill</w:t>
      </w:r>
      <w:r>
        <w:rPr>
          <w:rFonts w:ascii="Arial" w:eastAsia="Calibri" w:hAnsi="Arial" w:cs="Arial"/>
          <w:color w:val="000000" w:themeColor="text1"/>
          <w:sz w:val="24"/>
          <w:szCs w:val="24"/>
        </w:rPr>
        <w:t xml:space="preserve"> </w:t>
      </w:r>
      <w:hyperlink r:id="rId7" w:history="1">
        <w:r w:rsidRPr="00DD712E">
          <w:rPr>
            <w:rStyle w:val="Hyperlink"/>
            <w:rFonts w:ascii="Arial" w:eastAsia="Calibri" w:hAnsi="Arial" w:cs="Arial"/>
            <w:sz w:val="24"/>
            <w:szCs w:val="24"/>
          </w:rPr>
          <w:t>Seth.oneill@leicester.ac.uk</w:t>
        </w:r>
      </w:hyperlink>
      <w:r>
        <w:rPr>
          <w:rFonts w:ascii="Arial" w:eastAsia="Calibri" w:hAnsi="Arial" w:cs="Arial"/>
          <w:color w:val="000000" w:themeColor="text1"/>
          <w:sz w:val="24"/>
          <w:szCs w:val="24"/>
        </w:rPr>
        <w:t xml:space="preserve">, </w:t>
      </w:r>
      <w:proofErr w:type="spellStart"/>
      <w:r w:rsidRPr="0092634F">
        <w:rPr>
          <w:rFonts w:ascii="Arial" w:eastAsia="Calibri" w:hAnsi="Arial" w:cs="Arial"/>
          <w:color w:val="000000" w:themeColor="text1"/>
          <w:sz w:val="24"/>
          <w:szCs w:val="24"/>
        </w:rPr>
        <w:t>Dr.</w:t>
      </w:r>
      <w:proofErr w:type="spellEnd"/>
      <w:r w:rsidRPr="0092634F">
        <w:rPr>
          <w:rFonts w:ascii="Arial" w:eastAsia="Calibri" w:hAnsi="Arial" w:cs="Arial"/>
          <w:color w:val="000000" w:themeColor="text1"/>
          <w:sz w:val="24"/>
          <w:szCs w:val="24"/>
        </w:rPr>
        <w:t xml:space="preserve"> Mary Collier, University of Leicester, Professor Flaviano Giorgini, University of Leicester, </w:t>
      </w:r>
      <w:proofErr w:type="spellStart"/>
      <w:r w:rsidRPr="0092634F">
        <w:rPr>
          <w:rFonts w:ascii="Arial" w:eastAsia="Calibri" w:hAnsi="Arial" w:cs="Arial"/>
          <w:color w:val="000000" w:themeColor="text1"/>
          <w:sz w:val="24"/>
          <w:szCs w:val="24"/>
        </w:rPr>
        <w:t>Dr.</w:t>
      </w:r>
      <w:proofErr w:type="spellEnd"/>
      <w:r w:rsidRPr="0092634F">
        <w:rPr>
          <w:rFonts w:ascii="Arial" w:eastAsia="Calibri" w:hAnsi="Arial" w:cs="Arial"/>
          <w:color w:val="000000" w:themeColor="text1"/>
          <w:sz w:val="24"/>
          <w:szCs w:val="24"/>
        </w:rPr>
        <w:t xml:space="preserve"> Patrick O’Halloran University of Birmingham</w:t>
      </w:r>
    </w:p>
    <w:p w14:paraId="3ADAE754" w14:textId="77777777" w:rsidR="005D4D55" w:rsidRDefault="005D4D55" w:rsidP="00E3437F">
      <w:pPr>
        <w:spacing w:after="0" w:line="240" w:lineRule="auto"/>
        <w:rPr>
          <w:rFonts w:ascii="Arial" w:hAnsi="Arial" w:cs="Arial"/>
          <w:b/>
          <w:sz w:val="24"/>
          <w:szCs w:val="24"/>
        </w:rPr>
      </w:pPr>
    </w:p>
    <w:p w14:paraId="0080D732" w14:textId="1D1B4962" w:rsidR="005D4D55" w:rsidRPr="00E3437F" w:rsidRDefault="005D4D55" w:rsidP="00E3437F">
      <w:pPr>
        <w:spacing w:after="0" w:line="240" w:lineRule="auto"/>
        <w:rPr>
          <w:rFonts w:ascii="Arial" w:hAnsi="Arial" w:cs="Arial"/>
          <w:sz w:val="24"/>
          <w:szCs w:val="24"/>
        </w:rPr>
      </w:pPr>
      <w:r w:rsidRPr="0092634F">
        <w:rPr>
          <w:rFonts w:ascii="Arial" w:hAnsi="Arial" w:cs="Arial"/>
          <w:b/>
          <w:sz w:val="24"/>
          <w:szCs w:val="24"/>
        </w:rPr>
        <w:t xml:space="preserve">Project Title: </w:t>
      </w:r>
      <w:r w:rsidRPr="0092634F">
        <w:rPr>
          <w:rFonts w:ascii="Arial" w:hAnsi="Arial" w:cs="Arial"/>
          <w:b/>
          <w:sz w:val="24"/>
          <w:szCs w:val="24"/>
        </w:rPr>
        <w:tab/>
      </w:r>
      <w:r w:rsidRPr="00E3437F">
        <w:rPr>
          <w:rFonts w:ascii="Arial" w:eastAsia="Calibri Light" w:hAnsi="Arial" w:cs="Arial"/>
          <w:color w:val="000000" w:themeColor="text1"/>
          <w:sz w:val="24"/>
          <w:szCs w:val="24"/>
        </w:rPr>
        <w:t>Biomarkers Associated with motor Neurone Disease and Dementia development after concussion in Females and Males: BANDD.</w:t>
      </w:r>
    </w:p>
    <w:p w14:paraId="205CD25D" w14:textId="77777777" w:rsidR="0044057B" w:rsidRPr="0044057B" w:rsidRDefault="0044057B" w:rsidP="00E3437F">
      <w:pPr>
        <w:spacing w:after="0" w:line="240" w:lineRule="auto"/>
        <w:rPr>
          <w:rFonts w:ascii="Arial" w:hAnsi="Arial" w:cs="Arial"/>
          <w:b/>
          <w:sz w:val="24"/>
          <w:szCs w:val="24"/>
        </w:rPr>
      </w:pPr>
    </w:p>
    <w:p w14:paraId="1352F821" w14:textId="77777777" w:rsidR="00E559AB" w:rsidRDefault="0044057B" w:rsidP="005D4D55">
      <w:pPr>
        <w:spacing w:after="0" w:line="240" w:lineRule="auto"/>
        <w:jc w:val="both"/>
        <w:rPr>
          <w:rFonts w:ascii="Arial" w:hAnsi="Arial" w:cs="Arial"/>
          <w:b/>
          <w:bCs/>
          <w:sz w:val="24"/>
          <w:szCs w:val="24"/>
        </w:rPr>
      </w:pPr>
      <w:r w:rsidRPr="0044057B">
        <w:rPr>
          <w:rFonts w:ascii="Arial" w:hAnsi="Arial" w:cs="Arial"/>
          <w:b/>
          <w:bCs/>
          <w:sz w:val="24"/>
          <w:szCs w:val="24"/>
        </w:rPr>
        <w:t>Application link:</w:t>
      </w:r>
    </w:p>
    <w:p w14:paraId="23FEEE50" w14:textId="7105D331" w:rsidR="0044057B" w:rsidRPr="0044057B" w:rsidRDefault="00E3437F" w:rsidP="005D4D55">
      <w:pPr>
        <w:spacing w:after="0" w:line="240" w:lineRule="auto"/>
        <w:jc w:val="both"/>
        <w:rPr>
          <w:rFonts w:ascii="Arial" w:hAnsi="Arial" w:cs="Arial"/>
          <w:b/>
          <w:bCs/>
          <w:sz w:val="24"/>
          <w:szCs w:val="24"/>
        </w:rPr>
      </w:pPr>
      <w:hyperlink r:id="rId8" w:history="1">
        <w:r w:rsidR="0044057B" w:rsidRPr="0044057B">
          <w:rPr>
            <w:rStyle w:val="Hyperlink"/>
            <w:rFonts w:ascii="Arial" w:hAnsi="Arial" w:cs="Arial"/>
            <w:b/>
            <w:bCs/>
            <w:sz w:val="24"/>
            <w:szCs w:val="24"/>
          </w:rPr>
          <w:t>https://le.ac.uk/study/research-degrees/research-subjects/school-of-healthcare</w:t>
        </w:r>
      </w:hyperlink>
      <w:r w:rsidR="0044057B" w:rsidRPr="0044057B">
        <w:rPr>
          <w:rFonts w:ascii="Arial" w:hAnsi="Arial" w:cs="Arial"/>
          <w:b/>
          <w:bCs/>
          <w:sz w:val="24"/>
          <w:szCs w:val="24"/>
        </w:rPr>
        <w:t xml:space="preserve"> </w:t>
      </w:r>
    </w:p>
    <w:p w14:paraId="15AEDC64" w14:textId="77777777" w:rsidR="00186CBA" w:rsidRPr="0044057B" w:rsidRDefault="00186CBA" w:rsidP="005D4D55">
      <w:pPr>
        <w:spacing w:after="0" w:line="240" w:lineRule="auto"/>
        <w:jc w:val="both"/>
        <w:rPr>
          <w:rFonts w:ascii="Arial" w:hAnsi="Arial" w:cs="Arial"/>
          <w:bCs/>
          <w:sz w:val="24"/>
          <w:szCs w:val="24"/>
        </w:rPr>
      </w:pPr>
    </w:p>
    <w:p w14:paraId="7049ACA9" w14:textId="7441B39F" w:rsidR="00186CBA" w:rsidRPr="0044057B" w:rsidRDefault="00186CBA" w:rsidP="005D4D55">
      <w:pPr>
        <w:spacing w:after="0" w:line="240" w:lineRule="auto"/>
        <w:jc w:val="both"/>
        <w:rPr>
          <w:rFonts w:ascii="Arial" w:hAnsi="Arial" w:cs="Arial"/>
          <w:b/>
          <w:bCs/>
          <w:sz w:val="24"/>
          <w:szCs w:val="24"/>
        </w:rPr>
      </w:pPr>
      <w:r w:rsidRPr="0044057B">
        <w:rPr>
          <w:rFonts w:ascii="Arial" w:hAnsi="Arial" w:cs="Arial"/>
          <w:b/>
          <w:bCs/>
          <w:sz w:val="24"/>
          <w:szCs w:val="24"/>
        </w:rPr>
        <w:t>Project Description:</w:t>
      </w:r>
    </w:p>
    <w:p w14:paraId="653765AB" w14:textId="537ACBB0" w:rsidR="005D4D55" w:rsidRDefault="005D4D55" w:rsidP="005D4D55">
      <w:pPr>
        <w:pStyle w:val="Heading2"/>
        <w:ind w:left="0" w:firstLine="0"/>
        <w:jc w:val="both"/>
        <w:rPr>
          <w:rFonts w:ascii="Arial" w:eastAsia="Calibri Light" w:hAnsi="Arial" w:cs="Arial"/>
          <w:color w:val="000000" w:themeColor="text1"/>
          <w:sz w:val="24"/>
          <w:szCs w:val="24"/>
          <w:lang w:val="en-GB"/>
        </w:rPr>
      </w:pPr>
    </w:p>
    <w:p w14:paraId="28E50BBC" w14:textId="1EA3B093" w:rsidR="005D4D55" w:rsidRDefault="005D4D55" w:rsidP="005D4D55">
      <w:pPr>
        <w:pStyle w:val="Heading2"/>
        <w:ind w:left="0" w:firstLine="0"/>
        <w:jc w:val="both"/>
        <w:rPr>
          <w:rFonts w:ascii="Arial" w:eastAsia="Calibri Light" w:hAnsi="Arial" w:cs="Arial"/>
          <w:color w:val="000000" w:themeColor="text1"/>
          <w:sz w:val="24"/>
          <w:szCs w:val="24"/>
          <w:lang w:val="en-GB"/>
        </w:rPr>
      </w:pPr>
      <w:r>
        <w:rPr>
          <w:rFonts w:ascii="Arial" w:eastAsia="Calibri Light" w:hAnsi="Arial" w:cs="Arial"/>
          <w:color w:val="000000" w:themeColor="text1"/>
          <w:sz w:val="24"/>
          <w:szCs w:val="24"/>
          <w:lang w:val="en-GB"/>
        </w:rPr>
        <w:t>Highlights:</w:t>
      </w:r>
    </w:p>
    <w:tbl>
      <w:tblPr>
        <w:tblStyle w:val="TableGrid"/>
        <w:tblW w:w="85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0"/>
        <w:gridCol w:w="8085"/>
      </w:tblGrid>
      <w:tr w:rsidR="005D4D55" w:rsidRPr="0092634F" w14:paraId="5F09E337" w14:textId="77777777" w:rsidTr="005D4D55">
        <w:trPr>
          <w:trHeight w:val="300"/>
        </w:trPr>
        <w:tc>
          <w:tcPr>
            <w:tcW w:w="420" w:type="dxa"/>
            <w:shd w:val="clear" w:color="auto" w:fill="F2F2F2" w:themeFill="background1" w:themeFillShade="F2"/>
            <w:tcMar>
              <w:left w:w="105" w:type="dxa"/>
              <w:right w:w="105" w:type="dxa"/>
            </w:tcMar>
          </w:tcPr>
          <w:p w14:paraId="67EA3C37" w14:textId="77777777" w:rsidR="005D4D55" w:rsidRPr="0092634F" w:rsidRDefault="005D4D55" w:rsidP="005D4D55">
            <w:pPr>
              <w:spacing w:line="259" w:lineRule="auto"/>
              <w:jc w:val="both"/>
              <w:rPr>
                <w:rFonts w:ascii="Arial" w:eastAsia="Calibri" w:hAnsi="Arial" w:cs="Arial"/>
                <w:color w:val="000000" w:themeColor="text1"/>
                <w:sz w:val="24"/>
                <w:szCs w:val="24"/>
              </w:rPr>
            </w:pPr>
            <w:r w:rsidRPr="0092634F">
              <w:rPr>
                <w:rFonts w:ascii="Arial" w:eastAsia="Calibri" w:hAnsi="Arial" w:cs="Arial"/>
                <w:color w:val="000000" w:themeColor="text1"/>
                <w:sz w:val="24"/>
                <w:szCs w:val="24"/>
              </w:rPr>
              <w:t>1.</w:t>
            </w:r>
          </w:p>
        </w:tc>
        <w:tc>
          <w:tcPr>
            <w:tcW w:w="8085" w:type="dxa"/>
            <w:tcMar>
              <w:left w:w="105" w:type="dxa"/>
              <w:right w:w="105" w:type="dxa"/>
            </w:tcMar>
          </w:tcPr>
          <w:p w14:paraId="2014F50E" w14:textId="77777777" w:rsidR="005D4D55" w:rsidRPr="0092634F" w:rsidRDefault="005D4D55" w:rsidP="005D4D55">
            <w:pPr>
              <w:spacing w:line="259" w:lineRule="auto"/>
              <w:jc w:val="both"/>
              <w:rPr>
                <w:rFonts w:ascii="Arial" w:eastAsia="Calibri" w:hAnsi="Arial" w:cs="Arial"/>
                <w:color w:val="000000" w:themeColor="text1"/>
                <w:sz w:val="24"/>
                <w:szCs w:val="24"/>
              </w:rPr>
            </w:pPr>
            <w:r w:rsidRPr="0092634F">
              <w:rPr>
                <w:rFonts w:ascii="Arial" w:eastAsia="Calibri" w:hAnsi="Arial" w:cs="Arial"/>
                <w:color w:val="000000" w:themeColor="text1"/>
                <w:sz w:val="24"/>
                <w:szCs w:val="24"/>
              </w:rPr>
              <w:t>This will be an exciting opportunity to explore the differences between male and female brains responses to trauma in sport</w:t>
            </w:r>
          </w:p>
        </w:tc>
      </w:tr>
      <w:tr w:rsidR="005D4D55" w:rsidRPr="0092634F" w14:paraId="1E9D32E7" w14:textId="77777777" w:rsidTr="005D4D55">
        <w:trPr>
          <w:trHeight w:val="300"/>
        </w:trPr>
        <w:tc>
          <w:tcPr>
            <w:tcW w:w="420" w:type="dxa"/>
            <w:shd w:val="clear" w:color="auto" w:fill="F2F2F2" w:themeFill="background1" w:themeFillShade="F2"/>
            <w:tcMar>
              <w:left w:w="105" w:type="dxa"/>
              <w:right w:w="105" w:type="dxa"/>
            </w:tcMar>
          </w:tcPr>
          <w:p w14:paraId="5D37CD56" w14:textId="77777777" w:rsidR="005D4D55" w:rsidRPr="0092634F" w:rsidRDefault="005D4D55" w:rsidP="005D4D55">
            <w:pPr>
              <w:spacing w:line="259" w:lineRule="auto"/>
              <w:jc w:val="both"/>
              <w:rPr>
                <w:rFonts w:ascii="Arial" w:eastAsia="Calibri" w:hAnsi="Arial" w:cs="Arial"/>
                <w:color w:val="000000" w:themeColor="text1"/>
                <w:sz w:val="24"/>
                <w:szCs w:val="24"/>
              </w:rPr>
            </w:pPr>
            <w:r w:rsidRPr="0092634F">
              <w:rPr>
                <w:rFonts w:ascii="Arial" w:eastAsia="Calibri" w:hAnsi="Arial" w:cs="Arial"/>
                <w:color w:val="000000" w:themeColor="text1"/>
                <w:sz w:val="24"/>
                <w:szCs w:val="24"/>
              </w:rPr>
              <w:t>2.</w:t>
            </w:r>
          </w:p>
        </w:tc>
        <w:tc>
          <w:tcPr>
            <w:tcW w:w="8085" w:type="dxa"/>
            <w:tcMar>
              <w:left w:w="105" w:type="dxa"/>
              <w:right w:w="105" w:type="dxa"/>
            </w:tcMar>
          </w:tcPr>
          <w:p w14:paraId="40CD4A03" w14:textId="77777777" w:rsidR="005D4D55" w:rsidRPr="0092634F" w:rsidRDefault="005D4D55" w:rsidP="005D4D55">
            <w:pPr>
              <w:spacing w:line="259" w:lineRule="auto"/>
              <w:jc w:val="both"/>
              <w:rPr>
                <w:rFonts w:ascii="Arial" w:eastAsia="Calibri" w:hAnsi="Arial" w:cs="Arial"/>
                <w:color w:val="000000" w:themeColor="text1"/>
                <w:sz w:val="24"/>
                <w:szCs w:val="24"/>
              </w:rPr>
            </w:pPr>
            <w:r w:rsidRPr="0092634F">
              <w:rPr>
                <w:rFonts w:ascii="Arial" w:eastAsia="Calibri" w:hAnsi="Arial" w:cs="Arial"/>
                <w:color w:val="000000" w:themeColor="text1"/>
                <w:sz w:val="24"/>
                <w:szCs w:val="24"/>
              </w:rPr>
              <w:t>This will be the first time that links to existing neurodegenerative diseases in retired players will be explored in relation to their sport</w:t>
            </w:r>
          </w:p>
        </w:tc>
      </w:tr>
      <w:tr w:rsidR="005D4D55" w:rsidRPr="0092634F" w14:paraId="6095F78F" w14:textId="77777777" w:rsidTr="005D4D55">
        <w:trPr>
          <w:trHeight w:val="300"/>
        </w:trPr>
        <w:tc>
          <w:tcPr>
            <w:tcW w:w="420" w:type="dxa"/>
            <w:shd w:val="clear" w:color="auto" w:fill="F2F2F2" w:themeFill="background1" w:themeFillShade="F2"/>
            <w:tcMar>
              <w:left w:w="105" w:type="dxa"/>
              <w:right w:w="105" w:type="dxa"/>
            </w:tcMar>
          </w:tcPr>
          <w:p w14:paraId="690A07F2" w14:textId="77777777" w:rsidR="005D4D55" w:rsidRPr="0092634F" w:rsidRDefault="005D4D55" w:rsidP="005D4D55">
            <w:pPr>
              <w:spacing w:line="259" w:lineRule="auto"/>
              <w:jc w:val="both"/>
              <w:rPr>
                <w:rFonts w:ascii="Arial" w:eastAsia="Calibri" w:hAnsi="Arial" w:cs="Arial"/>
                <w:color w:val="000000" w:themeColor="text1"/>
                <w:sz w:val="24"/>
                <w:szCs w:val="24"/>
              </w:rPr>
            </w:pPr>
            <w:r w:rsidRPr="0092634F">
              <w:rPr>
                <w:rFonts w:ascii="Arial" w:eastAsia="Calibri" w:hAnsi="Arial" w:cs="Arial"/>
                <w:color w:val="000000" w:themeColor="text1"/>
                <w:sz w:val="24"/>
                <w:szCs w:val="24"/>
              </w:rPr>
              <w:t>3.</w:t>
            </w:r>
          </w:p>
        </w:tc>
        <w:tc>
          <w:tcPr>
            <w:tcW w:w="8085" w:type="dxa"/>
            <w:tcMar>
              <w:left w:w="105" w:type="dxa"/>
              <w:right w:w="105" w:type="dxa"/>
            </w:tcMar>
          </w:tcPr>
          <w:p w14:paraId="40DFB0FF" w14:textId="77777777" w:rsidR="005D4D55" w:rsidRPr="0092634F" w:rsidRDefault="005D4D55" w:rsidP="005D4D55">
            <w:pPr>
              <w:spacing w:line="259" w:lineRule="auto"/>
              <w:jc w:val="both"/>
              <w:rPr>
                <w:rFonts w:ascii="Arial" w:eastAsia="Calibri" w:hAnsi="Arial" w:cs="Arial"/>
                <w:color w:val="000000" w:themeColor="text1"/>
                <w:sz w:val="24"/>
                <w:szCs w:val="24"/>
              </w:rPr>
            </w:pPr>
            <w:r w:rsidRPr="0092634F">
              <w:rPr>
                <w:rFonts w:ascii="Arial" w:eastAsia="Calibri" w:hAnsi="Arial" w:cs="Arial"/>
                <w:color w:val="000000" w:themeColor="text1"/>
                <w:sz w:val="24"/>
                <w:szCs w:val="24"/>
              </w:rPr>
              <w:t>This project is highly likely to generate important REF returnable papers and further large NIHR grant applications with a high chance of success</w:t>
            </w:r>
          </w:p>
        </w:tc>
      </w:tr>
    </w:tbl>
    <w:p w14:paraId="5FB19F30" w14:textId="77777777" w:rsidR="005D4D55" w:rsidRDefault="005D4D55" w:rsidP="005D4D55">
      <w:pPr>
        <w:pStyle w:val="Heading2"/>
        <w:ind w:left="0" w:firstLine="0"/>
        <w:jc w:val="both"/>
        <w:rPr>
          <w:rFonts w:ascii="Arial" w:eastAsia="Calibri Light" w:hAnsi="Arial" w:cs="Arial"/>
          <w:color w:val="000000" w:themeColor="text1"/>
          <w:sz w:val="24"/>
          <w:szCs w:val="24"/>
          <w:lang w:val="en-GB"/>
        </w:rPr>
      </w:pPr>
    </w:p>
    <w:p w14:paraId="018FF163" w14:textId="7AE95A3A" w:rsidR="005D4D55" w:rsidRPr="0092634F" w:rsidRDefault="005D4D55" w:rsidP="005D4D55">
      <w:pPr>
        <w:pStyle w:val="Heading2"/>
        <w:ind w:left="0" w:firstLine="0"/>
        <w:jc w:val="both"/>
        <w:rPr>
          <w:rFonts w:ascii="Arial" w:eastAsia="Calibri Light" w:hAnsi="Arial" w:cs="Arial"/>
          <w:color w:val="000000" w:themeColor="text1"/>
          <w:sz w:val="24"/>
          <w:szCs w:val="24"/>
          <w:lang w:val="en-GB"/>
        </w:rPr>
      </w:pPr>
      <w:r w:rsidRPr="0092634F">
        <w:rPr>
          <w:rFonts w:ascii="Arial" w:eastAsia="Calibri Light" w:hAnsi="Arial" w:cs="Arial"/>
          <w:color w:val="000000" w:themeColor="text1"/>
          <w:sz w:val="24"/>
          <w:szCs w:val="24"/>
          <w:lang w:val="en-GB"/>
        </w:rPr>
        <w:t>AIMS</w:t>
      </w:r>
    </w:p>
    <w:p w14:paraId="0A2C0A61" w14:textId="77777777" w:rsidR="005D4D55" w:rsidRPr="0092634F" w:rsidRDefault="005D4D55" w:rsidP="005D4D55">
      <w:pPr>
        <w:pStyle w:val="Heading2"/>
        <w:ind w:left="0" w:firstLine="0"/>
        <w:jc w:val="both"/>
        <w:rPr>
          <w:rFonts w:ascii="Arial" w:eastAsia="Calibri Light" w:hAnsi="Arial" w:cs="Arial"/>
          <w:b w:val="0"/>
          <w:bCs w:val="0"/>
          <w:color w:val="000000" w:themeColor="text1"/>
          <w:sz w:val="24"/>
          <w:szCs w:val="24"/>
          <w:lang w:val="en-GB" w:eastAsia="en-GB"/>
        </w:rPr>
      </w:pPr>
      <w:r w:rsidRPr="0092634F">
        <w:rPr>
          <w:rFonts w:ascii="Arial" w:eastAsia="Calibri Light" w:hAnsi="Arial" w:cs="Arial"/>
          <w:b w:val="0"/>
          <w:bCs w:val="0"/>
          <w:color w:val="000000" w:themeColor="text1"/>
          <w:sz w:val="24"/>
          <w:szCs w:val="24"/>
          <w:lang w:val="en-GB" w:eastAsia="en-GB"/>
        </w:rPr>
        <w:t xml:space="preserve">Identify the impact concussion (Rugby) or low-grade brain injury associated with heading the ball (Football) has on biomarkers (micro-RNA’s) found in the Saliva and Blood and determine whether gender influences this. We will then determine how these biomarkers influence neural cellular activity invitro and whether these biomarkers are involved in the longer-term health consequences associated with concussion induced dementia or motor neurone disease. </w:t>
      </w:r>
    </w:p>
    <w:p w14:paraId="6AA64934" w14:textId="77777777" w:rsidR="005D4D55" w:rsidRDefault="005D4D55" w:rsidP="005D4D55">
      <w:pPr>
        <w:pStyle w:val="NormalWeb"/>
        <w:spacing w:before="0" w:beforeAutospacing="0" w:after="0" w:afterAutospacing="0"/>
        <w:jc w:val="both"/>
        <w:rPr>
          <w:rFonts w:ascii="Arial" w:eastAsia="Calibri Light" w:hAnsi="Arial" w:cs="Arial"/>
          <w:b/>
          <w:bCs/>
          <w:color w:val="000000" w:themeColor="text1"/>
        </w:rPr>
      </w:pPr>
    </w:p>
    <w:p w14:paraId="346FBF46" w14:textId="1944420A" w:rsidR="005D4D55" w:rsidRPr="0092634F" w:rsidRDefault="005D4D55" w:rsidP="005D4D55">
      <w:pPr>
        <w:pStyle w:val="NormalWeb"/>
        <w:spacing w:before="0" w:beforeAutospacing="0" w:after="0" w:afterAutospacing="0"/>
        <w:jc w:val="both"/>
        <w:rPr>
          <w:rFonts w:ascii="Arial" w:eastAsia="Calibri Light" w:hAnsi="Arial" w:cs="Arial"/>
          <w:b/>
          <w:bCs/>
          <w:color w:val="000000" w:themeColor="text1"/>
        </w:rPr>
      </w:pPr>
      <w:r w:rsidRPr="0092634F">
        <w:rPr>
          <w:rFonts w:ascii="Arial" w:eastAsia="Calibri Light" w:hAnsi="Arial" w:cs="Arial"/>
          <w:b/>
          <w:bCs/>
          <w:color w:val="000000" w:themeColor="text1"/>
        </w:rPr>
        <w:t>Hypotheses</w:t>
      </w:r>
    </w:p>
    <w:p w14:paraId="7EA4C0DA" w14:textId="77777777" w:rsidR="005D4D55" w:rsidRDefault="005D4D55" w:rsidP="005D4D55">
      <w:pPr>
        <w:pStyle w:val="NormalWeb"/>
        <w:spacing w:before="0" w:beforeAutospacing="0" w:after="0" w:afterAutospacing="0"/>
        <w:jc w:val="both"/>
        <w:rPr>
          <w:rFonts w:ascii="Arial" w:eastAsia="Calibri Light" w:hAnsi="Arial" w:cs="Arial"/>
          <w:b/>
          <w:bCs/>
          <w:color w:val="000000" w:themeColor="text1"/>
        </w:rPr>
      </w:pPr>
    </w:p>
    <w:p w14:paraId="3E09B3FA" w14:textId="08534C5A" w:rsidR="005D4D55" w:rsidRPr="0092634F" w:rsidRDefault="005D4D55" w:rsidP="005D4D55">
      <w:pPr>
        <w:pStyle w:val="NormalWeb"/>
        <w:spacing w:before="0" w:beforeAutospacing="0" w:after="0" w:afterAutospacing="0"/>
        <w:jc w:val="both"/>
        <w:rPr>
          <w:rFonts w:ascii="Arial" w:eastAsia="Calibri Light" w:hAnsi="Arial" w:cs="Arial"/>
          <w:b/>
          <w:bCs/>
          <w:color w:val="000000" w:themeColor="text1"/>
        </w:rPr>
      </w:pPr>
      <w:r w:rsidRPr="0092634F">
        <w:rPr>
          <w:rFonts w:ascii="Arial" w:eastAsia="Calibri Light" w:hAnsi="Arial" w:cs="Arial"/>
          <w:b/>
          <w:bCs/>
          <w:color w:val="000000" w:themeColor="text1"/>
        </w:rPr>
        <w:t>W</w:t>
      </w:r>
      <w:r>
        <w:rPr>
          <w:rFonts w:ascii="Arial" w:eastAsia="Calibri Light" w:hAnsi="Arial" w:cs="Arial"/>
          <w:b/>
          <w:bCs/>
          <w:color w:val="000000" w:themeColor="text1"/>
        </w:rPr>
        <w:t xml:space="preserve">ork </w:t>
      </w:r>
      <w:r w:rsidRPr="0092634F">
        <w:rPr>
          <w:rFonts w:ascii="Arial" w:eastAsia="Calibri Light" w:hAnsi="Arial" w:cs="Arial"/>
          <w:b/>
          <w:bCs/>
          <w:color w:val="000000" w:themeColor="text1"/>
        </w:rPr>
        <w:t>P</w:t>
      </w:r>
      <w:r>
        <w:rPr>
          <w:rFonts w:ascii="Arial" w:eastAsia="Calibri Light" w:hAnsi="Arial" w:cs="Arial"/>
          <w:b/>
          <w:bCs/>
          <w:color w:val="000000" w:themeColor="text1"/>
        </w:rPr>
        <w:t>ackage</w:t>
      </w:r>
      <w:r w:rsidRPr="0092634F">
        <w:rPr>
          <w:rFonts w:ascii="Arial" w:eastAsia="Calibri Light" w:hAnsi="Arial" w:cs="Arial"/>
          <w:b/>
          <w:bCs/>
          <w:color w:val="000000" w:themeColor="text1"/>
        </w:rPr>
        <w:t xml:space="preserve"> 1</w:t>
      </w:r>
    </w:p>
    <w:p w14:paraId="154A459B" w14:textId="77777777" w:rsidR="005D4D55" w:rsidRPr="005D4D55" w:rsidRDefault="005D4D55" w:rsidP="005D4D55">
      <w:pPr>
        <w:pStyle w:val="NormalWeb"/>
        <w:spacing w:before="0" w:beforeAutospacing="0" w:after="0" w:afterAutospacing="0"/>
        <w:jc w:val="both"/>
        <w:rPr>
          <w:rFonts w:ascii="Arial" w:eastAsia="Calibri Light" w:hAnsi="Arial" w:cs="Arial"/>
          <w:b/>
          <w:bCs/>
          <w:i/>
          <w:iCs/>
          <w:color w:val="000000" w:themeColor="text1"/>
        </w:rPr>
      </w:pPr>
      <w:r w:rsidRPr="005D4D55">
        <w:rPr>
          <w:rFonts w:ascii="Arial" w:eastAsia="Calibri Light" w:hAnsi="Arial" w:cs="Arial"/>
          <w:b/>
          <w:bCs/>
          <w:i/>
          <w:iCs/>
          <w:color w:val="000000" w:themeColor="text1"/>
        </w:rPr>
        <w:t xml:space="preserve">Female players will have different levels of concussion biomarkers compared with Males. </w:t>
      </w:r>
    </w:p>
    <w:p w14:paraId="5D5CFF3C" w14:textId="77777777" w:rsidR="005D4D55" w:rsidRPr="005D4D55" w:rsidRDefault="005D4D55" w:rsidP="005D4D55">
      <w:pPr>
        <w:pStyle w:val="NormalWeb"/>
        <w:spacing w:before="0" w:beforeAutospacing="0" w:after="0" w:afterAutospacing="0"/>
        <w:jc w:val="both"/>
        <w:rPr>
          <w:rFonts w:ascii="Arial" w:hAnsi="Arial" w:cs="Arial"/>
          <w:b/>
          <w:bCs/>
          <w:i/>
          <w:iCs/>
          <w:color w:val="000000" w:themeColor="text1"/>
        </w:rPr>
      </w:pPr>
      <w:r w:rsidRPr="005D4D55">
        <w:rPr>
          <w:rFonts w:ascii="Arial" w:eastAsia="Calibri Light" w:hAnsi="Arial" w:cs="Arial"/>
          <w:b/>
          <w:bCs/>
          <w:i/>
          <w:iCs/>
          <w:color w:val="000000" w:themeColor="text1"/>
        </w:rPr>
        <w:lastRenderedPageBreak/>
        <w:t>Female Players will recover differently post-concussion or Ball heading compared with Males</w:t>
      </w:r>
    </w:p>
    <w:p w14:paraId="1540E202" w14:textId="77777777" w:rsidR="005D4D55" w:rsidRDefault="005D4D55" w:rsidP="005D4D55">
      <w:pPr>
        <w:pStyle w:val="NormalWeb"/>
        <w:spacing w:before="0" w:beforeAutospacing="0" w:after="0" w:afterAutospacing="0"/>
        <w:jc w:val="both"/>
        <w:rPr>
          <w:rFonts w:ascii="Arial" w:eastAsia="Calibri Light" w:hAnsi="Arial" w:cs="Arial"/>
          <w:b/>
          <w:bCs/>
          <w:color w:val="000000" w:themeColor="text1"/>
        </w:rPr>
      </w:pPr>
    </w:p>
    <w:p w14:paraId="53B875EA" w14:textId="11877930" w:rsidR="005D4D55" w:rsidRPr="0092634F" w:rsidRDefault="005D4D55" w:rsidP="005D4D55">
      <w:pPr>
        <w:pStyle w:val="NormalWeb"/>
        <w:spacing w:before="0" w:beforeAutospacing="0" w:after="0" w:afterAutospacing="0"/>
        <w:jc w:val="both"/>
        <w:rPr>
          <w:rFonts w:ascii="Arial" w:eastAsia="Calibri Light" w:hAnsi="Arial" w:cs="Arial"/>
          <w:b/>
          <w:bCs/>
          <w:color w:val="000000" w:themeColor="text1"/>
        </w:rPr>
      </w:pPr>
      <w:r w:rsidRPr="0092634F">
        <w:rPr>
          <w:rFonts w:ascii="Arial" w:eastAsia="Calibri Light" w:hAnsi="Arial" w:cs="Arial"/>
          <w:b/>
          <w:bCs/>
          <w:color w:val="000000" w:themeColor="text1"/>
        </w:rPr>
        <w:t>W</w:t>
      </w:r>
      <w:r>
        <w:rPr>
          <w:rFonts w:ascii="Arial" w:eastAsia="Calibri Light" w:hAnsi="Arial" w:cs="Arial"/>
          <w:b/>
          <w:bCs/>
          <w:color w:val="000000" w:themeColor="text1"/>
        </w:rPr>
        <w:t xml:space="preserve">ork </w:t>
      </w:r>
      <w:r w:rsidRPr="0092634F">
        <w:rPr>
          <w:rFonts w:ascii="Arial" w:eastAsia="Calibri Light" w:hAnsi="Arial" w:cs="Arial"/>
          <w:b/>
          <w:bCs/>
          <w:color w:val="000000" w:themeColor="text1"/>
        </w:rPr>
        <w:t>P</w:t>
      </w:r>
      <w:r>
        <w:rPr>
          <w:rFonts w:ascii="Arial" w:eastAsia="Calibri Light" w:hAnsi="Arial" w:cs="Arial"/>
          <w:b/>
          <w:bCs/>
          <w:color w:val="000000" w:themeColor="text1"/>
        </w:rPr>
        <w:t xml:space="preserve">ackage </w:t>
      </w:r>
      <w:r w:rsidRPr="0092634F">
        <w:rPr>
          <w:rFonts w:ascii="Arial" w:eastAsia="Calibri Light" w:hAnsi="Arial" w:cs="Arial"/>
          <w:b/>
          <w:bCs/>
          <w:color w:val="000000" w:themeColor="text1"/>
        </w:rPr>
        <w:t>2</w:t>
      </w:r>
    </w:p>
    <w:p w14:paraId="66907908" w14:textId="77777777" w:rsidR="005D4D55" w:rsidRPr="005D4D55" w:rsidRDefault="005D4D55" w:rsidP="005D4D55">
      <w:pPr>
        <w:pStyle w:val="NormalWeb"/>
        <w:spacing w:before="0" w:beforeAutospacing="0" w:after="0" w:afterAutospacing="0"/>
        <w:jc w:val="both"/>
        <w:rPr>
          <w:rFonts w:ascii="Arial" w:eastAsia="Calibri Light" w:hAnsi="Arial" w:cs="Arial"/>
          <w:b/>
          <w:bCs/>
          <w:i/>
          <w:iCs/>
          <w:color w:val="000000" w:themeColor="text1"/>
        </w:rPr>
      </w:pPr>
      <w:r w:rsidRPr="005D4D55">
        <w:rPr>
          <w:rFonts w:ascii="Arial" w:eastAsia="Calibri Light" w:hAnsi="Arial" w:cs="Arial"/>
          <w:b/>
          <w:bCs/>
          <w:i/>
          <w:iCs/>
          <w:color w:val="000000" w:themeColor="text1"/>
        </w:rPr>
        <w:t xml:space="preserve">The impact of </w:t>
      </w:r>
      <w:proofErr w:type="gramStart"/>
      <w:r w:rsidRPr="005D4D55">
        <w:rPr>
          <w:rFonts w:ascii="Arial" w:eastAsia="Calibri Light" w:hAnsi="Arial" w:cs="Arial"/>
          <w:b/>
          <w:bCs/>
          <w:i/>
          <w:iCs/>
          <w:color w:val="000000" w:themeColor="text1"/>
        </w:rPr>
        <w:t>micro RNA</w:t>
      </w:r>
      <w:proofErr w:type="gramEnd"/>
      <w:r w:rsidRPr="005D4D55">
        <w:rPr>
          <w:rFonts w:ascii="Arial" w:eastAsia="Calibri Light" w:hAnsi="Arial" w:cs="Arial"/>
          <w:b/>
          <w:bCs/>
          <w:i/>
          <w:iCs/>
          <w:color w:val="000000" w:themeColor="text1"/>
        </w:rPr>
        <w:t xml:space="preserve"> molecules on peripheral and central nervous system cells will differ.</w:t>
      </w:r>
    </w:p>
    <w:p w14:paraId="13EC13CC" w14:textId="77777777" w:rsidR="005D4D55" w:rsidRDefault="005D4D55" w:rsidP="005D4D55">
      <w:pPr>
        <w:pStyle w:val="NormalWeb"/>
        <w:spacing w:before="0" w:beforeAutospacing="0" w:after="0" w:afterAutospacing="0"/>
        <w:jc w:val="both"/>
        <w:rPr>
          <w:rFonts w:ascii="Arial" w:eastAsia="Calibri Light" w:hAnsi="Arial" w:cs="Arial"/>
          <w:b/>
          <w:bCs/>
          <w:color w:val="000000" w:themeColor="text1"/>
        </w:rPr>
      </w:pPr>
    </w:p>
    <w:p w14:paraId="4F801EBE" w14:textId="752B29B6" w:rsidR="005D4D55" w:rsidRPr="0092634F" w:rsidRDefault="005D4D55" w:rsidP="005D4D55">
      <w:pPr>
        <w:pStyle w:val="NormalWeb"/>
        <w:spacing w:before="0" w:beforeAutospacing="0" w:after="0" w:afterAutospacing="0"/>
        <w:jc w:val="both"/>
        <w:rPr>
          <w:rFonts w:ascii="Arial" w:eastAsia="Calibri Light" w:hAnsi="Arial" w:cs="Arial"/>
          <w:b/>
          <w:bCs/>
          <w:color w:val="000000" w:themeColor="text1"/>
        </w:rPr>
      </w:pPr>
      <w:r w:rsidRPr="0092634F">
        <w:rPr>
          <w:rFonts w:ascii="Arial" w:eastAsia="Calibri Light" w:hAnsi="Arial" w:cs="Arial"/>
          <w:b/>
          <w:bCs/>
          <w:color w:val="000000" w:themeColor="text1"/>
        </w:rPr>
        <w:t>W</w:t>
      </w:r>
      <w:r>
        <w:rPr>
          <w:rFonts w:ascii="Arial" w:eastAsia="Calibri Light" w:hAnsi="Arial" w:cs="Arial"/>
          <w:b/>
          <w:bCs/>
          <w:color w:val="000000" w:themeColor="text1"/>
        </w:rPr>
        <w:t xml:space="preserve">ork </w:t>
      </w:r>
      <w:r w:rsidRPr="0092634F">
        <w:rPr>
          <w:rFonts w:ascii="Arial" w:eastAsia="Calibri Light" w:hAnsi="Arial" w:cs="Arial"/>
          <w:b/>
          <w:bCs/>
          <w:color w:val="000000" w:themeColor="text1"/>
        </w:rPr>
        <w:t>P</w:t>
      </w:r>
      <w:r>
        <w:rPr>
          <w:rFonts w:ascii="Arial" w:eastAsia="Calibri Light" w:hAnsi="Arial" w:cs="Arial"/>
          <w:b/>
          <w:bCs/>
          <w:color w:val="000000" w:themeColor="text1"/>
        </w:rPr>
        <w:t xml:space="preserve">ackage </w:t>
      </w:r>
      <w:r w:rsidRPr="0092634F">
        <w:rPr>
          <w:rFonts w:ascii="Arial" w:eastAsia="Calibri Light" w:hAnsi="Arial" w:cs="Arial"/>
          <w:b/>
          <w:bCs/>
          <w:color w:val="000000" w:themeColor="text1"/>
        </w:rPr>
        <w:t>3</w:t>
      </w:r>
    </w:p>
    <w:p w14:paraId="01283C03" w14:textId="77777777" w:rsidR="005D4D55" w:rsidRPr="005D4D55" w:rsidRDefault="005D4D55" w:rsidP="005D4D55">
      <w:pPr>
        <w:pStyle w:val="NormalWeb"/>
        <w:spacing w:before="0" w:beforeAutospacing="0" w:after="0" w:afterAutospacing="0"/>
        <w:jc w:val="both"/>
        <w:rPr>
          <w:rFonts w:ascii="Arial" w:eastAsia="Calibri Light" w:hAnsi="Arial" w:cs="Arial"/>
          <w:b/>
          <w:bCs/>
          <w:i/>
          <w:iCs/>
          <w:color w:val="000000" w:themeColor="text1"/>
        </w:rPr>
      </w:pPr>
      <w:r w:rsidRPr="005D4D55">
        <w:rPr>
          <w:rFonts w:ascii="Arial" w:eastAsia="Calibri Light" w:hAnsi="Arial" w:cs="Arial"/>
          <w:b/>
          <w:bCs/>
          <w:i/>
          <w:iCs/>
          <w:color w:val="000000" w:themeColor="text1"/>
        </w:rPr>
        <w:t xml:space="preserve">Retired players with early onset dementia or Motor Neurone Disease will express unique Salivary and Blood markers for neural function. </w:t>
      </w:r>
    </w:p>
    <w:p w14:paraId="7F930286" w14:textId="77777777" w:rsidR="005D4D55" w:rsidRPr="0092634F" w:rsidRDefault="005D4D55" w:rsidP="005D4D55">
      <w:pPr>
        <w:pStyle w:val="NormalWeb"/>
        <w:spacing w:before="0" w:beforeAutospacing="0" w:after="0" w:afterAutospacing="0"/>
        <w:jc w:val="both"/>
        <w:rPr>
          <w:rFonts w:ascii="Arial" w:eastAsia="Calibri Light" w:hAnsi="Arial" w:cs="Arial"/>
          <w:b/>
          <w:bCs/>
          <w:color w:val="000000" w:themeColor="text1"/>
        </w:rPr>
      </w:pPr>
    </w:p>
    <w:p w14:paraId="45D4BACD" w14:textId="77777777" w:rsidR="005D4D55" w:rsidRPr="0092634F" w:rsidRDefault="005D4D55" w:rsidP="005D4D55">
      <w:pPr>
        <w:pStyle w:val="NormalWeb"/>
        <w:spacing w:before="0" w:beforeAutospacing="0" w:after="0" w:afterAutospacing="0"/>
        <w:jc w:val="both"/>
        <w:rPr>
          <w:rFonts w:ascii="Arial" w:eastAsia="Calibri Light" w:hAnsi="Arial" w:cs="Arial"/>
          <w:color w:val="000000" w:themeColor="text1"/>
        </w:rPr>
      </w:pPr>
      <w:r w:rsidRPr="0092634F">
        <w:rPr>
          <w:rFonts w:ascii="Arial" w:eastAsia="Calibri Light" w:hAnsi="Arial" w:cs="Arial"/>
          <w:b/>
          <w:bCs/>
          <w:color w:val="000000" w:themeColor="text1"/>
        </w:rPr>
        <w:t>Work package 1a</w:t>
      </w:r>
      <w:r w:rsidRPr="0092634F">
        <w:rPr>
          <w:rFonts w:ascii="Arial" w:eastAsia="Calibri Light" w:hAnsi="Arial" w:cs="Arial"/>
          <w:color w:val="000000" w:themeColor="text1"/>
        </w:rPr>
        <w:t xml:space="preserve">: An observational prospective multi-squad cohort study recruiting subjects in the 2024-2025 season from the two highest tiers of Female and Male Rugby in English, Irish and Scottish Rugby and relevant national squads. During the season any match or training related concussion will be recorded by the medical teams and a saliva sample taken. A smaller number of blood samples will also be taken for analysis of novel biomarkers. </w:t>
      </w:r>
    </w:p>
    <w:p w14:paraId="0D0F340D" w14:textId="77777777" w:rsidR="005D4D55" w:rsidRPr="0092634F" w:rsidRDefault="005D4D55" w:rsidP="005D4D55">
      <w:pPr>
        <w:pStyle w:val="NormalWeb"/>
        <w:spacing w:before="0" w:beforeAutospacing="0" w:after="0" w:afterAutospacing="0"/>
        <w:jc w:val="both"/>
        <w:rPr>
          <w:rFonts w:ascii="Arial" w:eastAsia="Calibri Light" w:hAnsi="Arial" w:cs="Arial"/>
          <w:color w:val="000000" w:themeColor="text1"/>
        </w:rPr>
      </w:pPr>
      <w:r w:rsidRPr="0092634F">
        <w:rPr>
          <w:rFonts w:ascii="Arial" w:eastAsia="Calibri Light" w:hAnsi="Arial" w:cs="Arial"/>
          <w:b/>
          <w:bCs/>
          <w:color w:val="000000" w:themeColor="text1"/>
        </w:rPr>
        <w:t xml:space="preserve">1b: </w:t>
      </w:r>
      <w:r w:rsidRPr="0092634F">
        <w:rPr>
          <w:rFonts w:ascii="Arial" w:eastAsia="Calibri Light" w:hAnsi="Arial" w:cs="Arial"/>
          <w:color w:val="000000" w:themeColor="text1"/>
        </w:rPr>
        <w:t>A 2</w:t>
      </w:r>
      <w:r w:rsidRPr="0092634F">
        <w:rPr>
          <w:rFonts w:ascii="Arial" w:eastAsia="Calibri Light" w:hAnsi="Arial" w:cs="Arial"/>
          <w:color w:val="000000" w:themeColor="text1"/>
          <w:vertAlign w:val="superscript"/>
        </w:rPr>
        <w:t>nd</w:t>
      </w:r>
      <w:r w:rsidRPr="0092634F">
        <w:rPr>
          <w:rFonts w:ascii="Arial" w:eastAsia="Calibri Light" w:hAnsi="Arial" w:cs="Arial"/>
          <w:color w:val="000000" w:themeColor="text1"/>
        </w:rPr>
        <w:t xml:space="preserve"> cohort of players, this time from Football will be recruited, this group will undergo repeated bouts of heading to replicate in game demands, following previously published protocols. The recruits will be from professional football clubs with equal weighting for Female and Male recruitment. </w:t>
      </w:r>
    </w:p>
    <w:p w14:paraId="1B4C8794" w14:textId="77777777" w:rsidR="005D4D55" w:rsidRPr="0092634F" w:rsidRDefault="005D4D55" w:rsidP="005D4D55">
      <w:pPr>
        <w:pStyle w:val="NormalWeb"/>
        <w:spacing w:before="0" w:beforeAutospacing="0" w:after="0" w:afterAutospacing="0"/>
        <w:jc w:val="both"/>
        <w:rPr>
          <w:rFonts w:ascii="Arial" w:eastAsia="Calibri Light" w:hAnsi="Arial" w:cs="Arial"/>
          <w:color w:val="000000" w:themeColor="text1"/>
        </w:rPr>
      </w:pPr>
      <w:r w:rsidRPr="0092634F">
        <w:rPr>
          <w:rFonts w:ascii="Arial" w:eastAsia="Calibri Light" w:hAnsi="Arial" w:cs="Arial"/>
          <w:color w:val="000000" w:themeColor="text1"/>
        </w:rPr>
        <w:t xml:space="preserve">All samples will be stored as per published protocols. The concussed player samples will be matched with one other player who played the same position and participated for similar </w:t>
      </w:r>
      <w:proofErr w:type="gramStart"/>
      <w:r w:rsidRPr="0092634F">
        <w:rPr>
          <w:rFonts w:ascii="Arial" w:eastAsia="Calibri Light" w:hAnsi="Arial" w:cs="Arial"/>
          <w:color w:val="000000" w:themeColor="text1"/>
        </w:rPr>
        <w:t>amount</w:t>
      </w:r>
      <w:proofErr w:type="gramEnd"/>
      <w:r w:rsidRPr="0092634F">
        <w:rPr>
          <w:rFonts w:ascii="Arial" w:eastAsia="Calibri Light" w:hAnsi="Arial" w:cs="Arial"/>
          <w:color w:val="000000" w:themeColor="text1"/>
        </w:rPr>
        <w:t xml:space="preserve"> of minutes. Storage and analysis of the samples will follow previously published protocols.</w:t>
      </w:r>
    </w:p>
    <w:p w14:paraId="00111877" w14:textId="77777777" w:rsidR="005D4D55" w:rsidRDefault="005D4D55" w:rsidP="005D4D55">
      <w:pPr>
        <w:pStyle w:val="NormalWeb"/>
        <w:spacing w:before="0" w:beforeAutospacing="0" w:after="0" w:afterAutospacing="0"/>
        <w:jc w:val="both"/>
        <w:rPr>
          <w:rFonts w:ascii="Arial" w:eastAsia="Calibri Light" w:hAnsi="Arial" w:cs="Arial"/>
          <w:b/>
          <w:bCs/>
          <w:color w:val="000000" w:themeColor="text1"/>
        </w:rPr>
      </w:pPr>
    </w:p>
    <w:p w14:paraId="4E613BBE" w14:textId="62C02324" w:rsidR="005D4D55" w:rsidRPr="0092634F" w:rsidRDefault="005D4D55" w:rsidP="005D4D55">
      <w:pPr>
        <w:pStyle w:val="NormalWeb"/>
        <w:spacing w:before="0" w:beforeAutospacing="0" w:after="0" w:afterAutospacing="0"/>
        <w:jc w:val="both"/>
        <w:rPr>
          <w:rFonts w:ascii="Arial" w:eastAsia="Calibri Light" w:hAnsi="Arial" w:cs="Arial"/>
          <w:color w:val="000000" w:themeColor="text1"/>
        </w:rPr>
      </w:pPr>
      <w:r w:rsidRPr="0092634F">
        <w:rPr>
          <w:rFonts w:ascii="Arial" w:eastAsia="Calibri Light" w:hAnsi="Arial" w:cs="Arial"/>
          <w:b/>
          <w:bCs/>
          <w:color w:val="000000" w:themeColor="text1"/>
        </w:rPr>
        <w:t xml:space="preserve">Work package 2: </w:t>
      </w:r>
      <w:r w:rsidRPr="0092634F">
        <w:rPr>
          <w:rFonts w:ascii="Arial" w:eastAsia="Calibri Light" w:hAnsi="Arial" w:cs="Arial"/>
          <w:color w:val="000000" w:themeColor="text1"/>
        </w:rPr>
        <w:t>Laboratory based analysis of the impact on identified biomarkers on human peripheral and central nervous system cells.</w:t>
      </w:r>
    </w:p>
    <w:p w14:paraId="033DCF81" w14:textId="77777777" w:rsidR="005D4D55" w:rsidRPr="0092634F" w:rsidRDefault="005D4D55" w:rsidP="005D4D55">
      <w:pPr>
        <w:spacing w:after="0" w:line="240" w:lineRule="auto"/>
        <w:jc w:val="both"/>
        <w:rPr>
          <w:rFonts w:ascii="Arial" w:eastAsia="Calibri Light" w:hAnsi="Arial" w:cs="Arial"/>
          <w:color w:val="000000" w:themeColor="text1"/>
          <w:sz w:val="24"/>
          <w:szCs w:val="24"/>
        </w:rPr>
      </w:pPr>
      <w:r w:rsidRPr="0092634F">
        <w:rPr>
          <w:rFonts w:ascii="Arial" w:eastAsia="Calibri Light" w:hAnsi="Arial" w:cs="Arial"/>
          <w:color w:val="000000" w:themeColor="text1"/>
          <w:sz w:val="24"/>
          <w:szCs w:val="24"/>
        </w:rPr>
        <w:t xml:space="preserve">Extracellular </w:t>
      </w:r>
      <w:proofErr w:type="spellStart"/>
      <w:r w:rsidRPr="0092634F">
        <w:rPr>
          <w:rFonts w:ascii="Arial" w:eastAsia="Calibri Light" w:hAnsi="Arial" w:cs="Arial"/>
          <w:color w:val="000000" w:themeColor="text1"/>
          <w:sz w:val="24"/>
          <w:szCs w:val="24"/>
        </w:rPr>
        <w:t>vesicles</w:t>
      </w:r>
      <w:proofErr w:type="spellEnd"/>
      <w:r w:rsidRPr="0092634F">
        <w:rPr>
          <w:rFonts w:ascii="Arial" w:eastAsia="Calibri Light" w:hAnsi="Arial" w:cs="Arial"/>
          <w:color w:val="000000" w:themeColor="text1"/>
          <w:sz w:val="24"/>
          <w:szCs w:val="24"/>
        </w:rPr>
        <w:t xml:space="preserve"> (EVs) will be isolated from saliva samples by precipitation with </w:t>
      </w:r>
      <w:proofErr w:type="spellStart"/>
      <w:r w:rsidRPr="0092634F">
        <w:rPr>
          <w:rFonts w:ascii="Arial" w:eastAsia="Calibri Light" w:hAnsi="Arial" w:cs="Arial"/>
          <w:color w:val="000000" w:themeColor="text1"/>
          <w:sz w:val="24"/>
          <w:szCs w:val="24"/>
        </w:rPr>
        <w:t>ExoQuick</w:t>
      </w:r>
      <w:proofErr w:type="spellEnd"/>
      <w:r w:rsidRPr="0092634F">
        <w:rPr>
          <w:rFonts w:ascii="Arial" w:eastAsia="Calibri Light" w:hAnsi="Arial" w:cs="Arial"/>
          <w:color w:val="000000" w:themeColor="text1"/>
          <w:sz w:val="24"/>
          <w:szCs w:val="24"/>
        </w:rPr>
        <w:t>-TC technology followed by size exclusion chromatography. Total EVs will be analysed directly and neuronally enriched EVs will be isolated using immuno-capture beads, as a window into CNS alterations. EVs will be lysed and micro RNAs (miRNAs) isolated. RNA-sequencing will then be used to identify miRNAs that are differentially expressed between groups and significantly different miRNAs will be validated by qPCR. miRNA databases will be used to identify potential gene targets of miRNAs that are significantly different between groups. Based on these analyses, we will then test the effects of key miRNAs on the health of neurons using the SH-SY5Y human neuronal cell line and the NSC-34 mouse motor neuron-like cell line. These cells will be transfected with miRNA mimics corresponding to miRNAs of interest and outcomes on target gene expression, cell viability, mitochondrial function and reactive oxygen species production (ROS) will be examined. In parallel, we will utilise these outcomes to test the effects of direct treatment of the neuronal lines with isolated EVs from the experimental groups.</w:t>
      </w:r>
    </w:p>
    <w:p w14:paraId="754E356B" w14:textId="77777777" w:rsidR="005D4D55" w:rsidRPr="0092634F" w:rsidRDefault="005D4D55" w:rsidP="005D4D55">
      <w:pPr>
        <w:spacing w:after="0" w:line="240" w:lineRule="auto"/>
        <w:jc w:val="both"/>
        <w:rPr>
          <w:rFonts w:ascii="Arial" w:eastAsia="Calibri Light" w:hAnsi="Arial" w:cs="Arial"/>
          <w:color w:val="000000" w:themeColor="text1"/>
          <w:sz w:val="24"/>
          <w:szCs w:val="24"/>
        </w:rPr>
      </w:pPr>
    </w:p>
    <w:p w14:paraId="5464347F" w14:textId="77777777" w:rsidR="005D4D55" w:rsidRPr="0092634F" w:rsidRDefault="005D4D55" w:rsidP="005D4D55">
      <w:pPr>
        <w:spacing w:after="0" w:line="240" w:lineRule="auto"/>
        <w:jc w:val="both"/>
        <w:rPr>
          <w:rFonts w:ascii="Arial" w:eastAsia="Calibri Light" w:hAnsi="Arial" w:cs="Arial"/>
          <w:b/>
          <w:bCs/>
          <w:color w:val="000000" w:themeColor="text1"/>
          <w:sz w:val="24"/>
          <w:szCs w:val="24"/>
        </w:rPr>
      </w:pPr>
      <w:r w:rsidRPr="0092634F">
        <w:rPr>
          <w:rFonts w:ascii="Arial" w:eastAsia="Calibri Light" w:hAnsi="Arial" w:cs="Arial"/>
          <w:b/>
          <w:bCs/>
          <w:color w:val="000000" w:themeColor="text1"/>
          <w:sz w:val="24"/>
          <w:szCs w:val="24"/>
        </w:rPr>
        <w:t>Work package 3</w:t>
      </w:r>
    </w:p>
    <w:p w14:paraId="233EC8D3" w14:textId="77777777" w:rsidR="005D4D55" w:rsidRPr="0092634F" w:rsidRDefault="005D4D55" w:rsidP="005D4D55">
      <w:pPr>
        <w:spacing w:after="0" w:line="240" w:lineRule="auto"/>
        <w:jc w:val="both"/>
        <w:rPr>
          <w:rFonts w:ascii="Arial" w:eastAsia="Calibri Light" w:hAnsi="Arial" w:cs="Arial"/>
          <w:color w:val="000000" w:themeColor="text1"/>
          <w:sz w:val="24"/>
          <w:szCs w:val="24"/>
        </w:rPr>
      </w:pPr>
      <w:r w:rsidRPr="0092634F">
        <w:rPr>
          <w:rFonts w:ascii="Arial" w:eastAsia="Calibri Light" w:hAnsi="Arial" w:cs="Arial"/>
          <w:color w:val="000000" w:themeColor="text1"/>
          <w:sz w:val="24"/>
          <w:szCs w:val="24"/>
        </w:rPr>
        <w:t xml:space="preserve">An observational study examining the biomarkers of early onset Dementia or MND in retired players who attribute these disorders to their playing careers. This study will utilise both saliva and blood samples. Recruitment will be supported by the governing bodies and the professional </w:t>
      </w:r>
      <w:proofErr w:type="gramStart"/>
      <w:r w:rsidRPr="0092634F">
        <w:rPr>
          <w:rFonts w:ascii="Arial" w:eastAsia="Calibri Light" w:hAnsi="Arial" w:cs="Arial"/>
          <w:color w:val="000000" w:themeColor="text1"/>
          <w:sz w:val="24"/>
          <w:szCs w:val="24"/>
        </w:rPr>
        <w:t>footballers</w:t>
      </w:r>
      <w:proofErr w:type="gramEnd"/>
      <w:r w:rsidRPr="0092634F">
        <w:rPr>
          <w:rFonts w:ascii="Arial" w:eastAsia="Calibri Light" w:hAnsi="Arial" w:cs="Arial"/>
          <w:color w:val="000000" w:themeColor="text1"/>
          <w:sz w:val="24"/>
          <w:szCs w:val="24"/>
        </w:rPr>
        <w:t xml:space="preserve"> association and the professional players federation. Salivary and blood analysis will follow published protocols. </w:t>
      </w:r>
    </w:p>
    <w:p w14:paraId="3AAB1494" w14:textId="77777777" w:rsidR="005D4D55" w:rsidRPr="0092634F" w:rsidRDefault="005D4D55" w:rsidP="005D4D55">
      <w:pPr>
        <w:spacing w:after="0" w:line="240" w:lineRule="auto"/>
        <w:jc w:val="both"/>
        <w:rPr>
          <w:rFonts w:ascii="Arial" w:eastAsia="Calibri Light" w:hAnsi="Arial" w:cs="Arial"/>
          <w:color w:val="000000" w:themeColor="text1"/>
          <w:sz w:val="24"/>
          <w:szCs w:val="24"/>
        </w:rPr>
      </w:pPr>
    </w:p>
    <w:p w14:paraId="50414802" w14:textId="77777777" w:rsidR="005D4D55" w:rsidRPr="0092634F" w:rsidRDefault="005D4D55" w:rsidP="005D4D55">
      <w:pPr>
        <w:pStyle w:val="NormalWeb"/>
        <w:spacing w:before="0" w:beforeAutospacing="0" w:after="0" w:afterAutospacing="0"/>
        <w:jc w:val="both"/>
        <w:rPr>
          <w:rFonts w:ascii="Arial" w:eastAsia="Calibri Light" w:hAnsi="Arial" w:cs="Arial"/>
          <w:color w:val="000000" w:themeColor="text1"/>
        </w:rPr>
      </w:pPr>
      <w:r w:rsidRPr="0092634F">
        <w:rPr>
          <w:rFonts w:ascii="Arial" w:eastAsia="Calibri Light" w:hAnsi="Arial" w:cs="Arial"/>
          <w:b/>
          <w:bCs/>
          <w:color w:val="000000" w:themeColor="text1"/>
        </w:rPr>
        <w:t>Data analysis</w:t>
      </w:r>
      <w:r w:rsidRPr="0092634F">
        <w:rPr>
          <w:rFonts w:ascii="Arial" w:eastAsia="Calibri Light" w:hAnsi="Arial" w:cs="Arial"/>
          <w:color w:val="000000" w:themeColor="text1"/>
        </w:rPr>
        <w:t xml:space="preserve"> </w:t>
      </w:r>
    </w:p>
    <w:p w14:paraId="7374512F" w14:textId="77777777" w:rsidR="005D4D55" w:rsidRPr="0092634F" w:rsidRDefault="005D4D55" w:rsidP="005D4D55">
      <w:pPr>
        <w:pStyle w:val="NormalWeb"/>
        <w:spacing w:before="0" w:beforeAutospacing="0" w:after="0" w:afterAutospacing="0"/>
        <w:jc w:val="both"/>
        <w:rPr>
          <w:rFonts w:ascii="Arial" w:eastAsia="Calibri Light" w:hAnsi="Arial" w:cs="Arial"/>
          <w:color w:val="000000" w:themeColor="text1"/>
        </w:rPr>
      </w:pPr>
      <w:r w:rsidRPr="0092634F">
        <w:rPr>
          <w:rFonts w:ascii="Arial" w:eastAsia="Calibri Light" w:hAnsi="Arial" w:cs="Arial"/>
          <w:color w:val="000000" w:themeColor="text1"/>
        </w:rPr>
        <w:lastRenderedPageBreak/>
        <w:t xml:space="preserve">Data analysis will be completed by a biostatistician. Primary analysis will compare concussed with non-concussed counterparts and Male and Female comparisons. Testing will use appropriate between group analysis. </w:t>
      </w:r>
    </w:p>
    <w:p w14:paraId="4CFD8F89" w14:textId="77777777" w:rsidR="005D4D55" w:rsidRDefault="005D4D55" w:rsidP="005D4D55">
      <w:pPr>
        <w:pStyle w:val="NormalWeb"/>
        <w:spacing w:before="0" w:beforeAutospacing="0" w:after="0" w:afterAutospacing="0"/>
        <w:jc w:val="both"/>
        <w:rPr>
          <w:rFonts w:ascii="Arial" w:eastAsia="Calibri Light" w:hAnsi="Arial" w:cs="Arial"/>
          <w:b/>
          <w:bCs/>
          <w:color w:val="000000" w:themeColor="text1"/>
        </w:rPr>
      </w:pPr>
    </w:p>
    <w:p w14:paraId="6DC50C1D" w14:textId="1CDC5D8C" w:rsidR="005D4D55" w:rsidRPr="0092634F" w:rsidRDefault="005D4D55" w:rsidP="005D4D55">
      <w:pPr>
        <w:pStyle w:val="NormalWeb"/>
        <w:spacing w:before="0" w:beforeAutospacing="0" w:after="0" w:afterAutospacing="0"/>
        <w:jc w:val="both"/>
        <w:rPr>
          <w:rFonts w:ascii="Arial" w:eastAsia="Calibri Light" w:hAnsi="Arial" w:cs="Arial"/>
          <w:b/>
          <w:bCs/>
          <w:color w:val="000000" w:themeColor="text1"/>
        </w:rPr>
      </w:pPr>
      <w:r w:rsidRPr="0092634F">
        <w:rPr>
          <w:rFonts w:ascii="Arial" w:eastAsia="Calibri Light" w:hAnsi="Arial" w:cs="Arial"/>
          <w:b/>
          <w:bCs/>
          <w:color w:val="000000" w:themeColor="text1"/>
        </w:rPr>
        <w:t>Experimental methods and research plan</w:t>
      </w:r>
    </w:p>
    <w:p w14:paraId="3B6E9378" w14:textId="77777777" w:rsidR="005D4D55" w:rsidRPr="0092634F" w:rsidRDefault="005D4D55" w:rsidP="005D4D55">
      <w:pPr>
        <w:pStyle w:val="NormalWeb"/>
        <w:spacing w:before="0" w:beforeAutospacing="0" w:after="0" w:afterAutospacing="0"/>
        <w:jc w:val="both"/>
        <w:rPr>
          <w:rFonts w:ascii="Arial" w:eastAsia="Calibri Light" w:hAnsi="Arial" w:cs="Arial"/>
          <w:color w:val="000000" w:themeColor="text1"/>
        </w:rPr>
      </w:pPr>
      <w:r w:rsidRPr="0092634F">
        <w:rPr>
          <w:rFonts w:ascii="Arial" w:eastAsia="Calibri Light" w:hAnsi="Arial" w:cs="Arial"/>
          <w:color w:val="000000" w:themeColor="text1"/>
        </w:rPr>
        <w:t xml:space="preserve">Player and stakeholder representatives have been involved with the planning of this study, specifically around the importance of understanding the role of concussion in motor neurone disease development and the pace research needs to examine this. This work has informed the proposed methodology. </w:t>
      </w:r>
    </w:p>
    <w:p w14:paraId="1C1C41D5" w14:textId="77777777" w:rsidR="005D4D55" w:rsidRPr="0092634F" w:rsidRDefault="005D4D55" w:rsidP="005D4D55">
      <w:pPr>
        <w:pStyle w:val="Heading2"/>
        <w:ind w:left="0" w:firstLine="0"/>
        <w:jc w:val="both"/>
        <w:rPr>
          <w:rFonts w:ascii="Arial" w:eastAsia="Calibri Light" w:hAnsi="Arial" w:cs="Arial"/>
          <w:color w:val="000000" w:themeColor="text1"/>
          <w:sz w:val="24"/>
          <w:szCs w:val="24"/>
          <w:lang w:val="en-GB"/>
        </w:rPr>
      </w:pPr>
    </w:p>
    <w:p w14:paraId="031636B0" w14:textId="77777777" w:rsidR="005D4D55" w:rsidRPr="0092634F" w:rsidRDefault="005D4D55" w:rsidP="005D4D55">
      <w:pPr>
        <w:pStyle w:val="Heading2"/>
        <w:ind w:left="0" w:firstLine="0"/>
        <w:jc w:val="both"/>
        <w:rPr>
          <w:rFonts w:ascii="Arial" w:eastAsia="Calibri Light" w:hAnsi="Arial" w:cs="Arial"/>
          <w:color w:val="000000" w:themeColor="text1"/>
          <w:sz w:val="24"/>
          <w:szCs w:val="24"/>
          <w:lang w:val="en-GB"/>
        </w:rPr>
      </w:pPr>
      <w:r w:rsidRPr="0092634F">
        <w:rPr>
          <w:rFonts w:ascii="Arial" w:eastAsia="Calibri Light" w:hAnsi="Arial" w:cs="Arial"/>
          <w:color w:val="000000" w:themeColor="text1"/>
          <w:sz w:val="24"/>
          <w:szCs w:val="24"/>
          <w:lang w:val="en-GB"/>
        </w:rPr>
        <w:t>Background</w:t>
      </w:r>
    </w:p>
    <w:p w14:paraId="063CBB28" w14:textId="77777777" w:rsidR="005D4D55" w:rsidRPr="0092634F" w:rsidRDefault="005D4D55" w:rsidP="005D4D55">
      <w:pPr>
        <w:pStyle w:val="Heading2"/>
        <w:ind w:left="0" w:firstLine="0"/>
        <w:jc w:val="both"/>
        <w:rPr>
          <w:rFonts w:ascii="Arial" w:eastAsia="Calibri Light" w:hAnsi="Arial" w:cs="Arial"/>
          <w:b w:val="0"/>
          <w:bCs w:val="0"/>
          <w:color w:val="000000" w:themeColor="text1"/>
          <w:sz w:val="24"/>
          <w:szCs w:val="24"/>
          <w:lang w:val="en-GB" w:eastAsia="en-GB"/>
        </w:rPr>
      </w:pPr>
      <w:r w:rsidRPr="0092634F">
        <w:rPr>
          <w:rFonts w:ascii="Arial" w:eastAsia="Calibri Light" w:hAnsi="Arial" w:cs="Arial"/>
          <w:b w:val="0"/>
          <w:bCs w:val="0"/>
          <w:color w:val="000000" w:themeColor="text1"/>
          <w:sz w:val="24"/>
          <w:szCs w:val="24"/>
          <w:lang w:val="en-GB"/>
        </w:rPr>
        <w:t xml:space="preserve">Traumatic brain injury can be diagnosed from </w:t>
      </w:r>
      <w:r w:rsidRPr="0092634F">
        <w:rPr>
          <w:rFonts w:ascii="Arial" w:eastAsia="Calibri Light" w:hAnsi="Arial" w:cs="Arial"/>
          <w:b w:val="0"/>
          <w:bCs w:val="0"/>
          <w:color w:val="000000" w:themeColor="text1"/>
          <w:sz w:val="24"/>
          <w:szCs w:val="24"/>
          <w:lang w:val="en-GB" w:eastAsia="en-GB"/>
        </w:rPr>
        <w:t xml:space="preserve">saliva and blood samples, however current literature has focussed predominantly on concussion in males despite evidence Female players suffer more frequent concussions with higher severity, possibly linked to fall mechanics. This may result in different quantities of MicroRNAs (Biomarkers of Concussion) in the saliva or blood of a female who is concussed. Concussion (or mild traumatic brain injury) has also been identified to occur with heading of the ball in football. Female participation has rapidly expanded in both Rugby and football but recent data has shown a significant increased risk of Motor neurone disease (MND), increased by 15 times in retired rugby players and an increased risk of Dementia in both Rugby and Football, alongside other sports. How concussion/mild traumatic brain injury increases the risk of neurodegenerative disorders is currently unknown and un-explored.  </w:t>
      </w:r>
    </w:p>
    <w:p w14:paraId="505B7DD2" w14:textId="77777777" w:rsidR="005D4D55" w:rsidRPr="0092634F" w:rsidRDefault="005D4D55" w:rsidP="005D4D55">
      <w:pPr>
        <w:spacing w:after="0" w:line="240" w:lineRule="auto"/>
        <w:jc w:val="both"/>
        <w:rPr>
          <w:rFonts w:ascii="Arial" w:eastAsia="Calibri Light" w:hAnsi="Arial" w:cs="Arial"/>
          <w:color w:val="000000" w:themeColor="text1"/>
          <w:sz w:val="24"/>
          <w:szCs w:val="24"/>
        </w:rPr>
      </w:pPr>
    </w:p>
    <w:p w14:paraId="391D98DF" w14:textId="77777777" w:rsidR="00B24449" w:rsidRPr="00FA112B" w:rsidRDefault="00B24449" w:rsidP="005D4D55">
      <w:pPr>
        <w:pStyle w:val="NoSpacing"/>
        <w:jc w:val="both"/>
        <w:rPr>
          <w:rFonts w:ascii="Arial" w:hAnsi="Arial" w:cs="Arial"/>
          <w:bCs/>
          <w:i/>
          <w:iCs/>
          <w:sz w:val="24"/>
          <w:szCs w:val="24"/>
        </w:rPr>
      </w:pPr>
    </w:p>
    <w:p w14:paraId="67954614" w14:textId="77777777" w:rsidR="000B797E" w:rsidRPr="0044057B" w:rsidRDefault="000B797E" w:rsidP="005D4D55">
      <w:pPr>
        <w:spacing w:after="0" w:line="240" w:lineRule="auto"/>
        <w:jc w:val="both"/>
        <w:rPr>
          <w:rFonts w:ascii="Arial" w:hAnsi="Arial" w:cs="Arial"/>
          <w:b/>
          <w:sz w:val="24"/>
          <w:szCs w:val="24"/>
        </w:rPr>
      </w:pPr>
      <w:r w:rsidRPr="0044057B">
        <w:rPr>
          <w:rFonts w:ascii="Arial" w:hAnsi="Arial" w:cs="Arial"/>
          <w:b/>
          <w:sz w:val="24"/>
          <w:szCs w:val="24"/>
        </w:rPr>
        <w:t>Entry requirements:</w:t>
      </w:r>
    </w:p>
    <w:p w14:paraId="64AE4A66" w14:textId="0D621D16" w:rsidR="00B24449" w:rsidRPr="0044057B" w:rsidRDefault="00B24449" w:rsidP="005D4D55">
      <w:pPr>
        <w:spacing w:after="0" w:line="240" w:lineRule="auto"/>
        <w:jc w:val="both"/>
        <w:rPr>
          <w:rFonts w:ascii="Arial" w:hAnsi="Arial" w:cs="Arial"/>
          <w:sz w:val="24"/>
          <w:szCs w:val="24"/>
        </w:rPr>
      </w:pPr>
      <w:r w:rsidRPr="0044057B">
        <w:rPr>
          <w:rFonts w:ascii="Arial" w:hAnsi="Arial" w:cs="Arial"/>
          <w:sz w:val="24"/>
          <w:szCs w:val="24"/>
        </w:rPr>
        <w:t>Applicants are required to hold/or expect to obtain a Bachelor Degree 2:1</w:t>
      </w:r>
      <w:r w:rsidR="0009661B" w:rsidRPr="0044057B">
        <w:rPr>
          <w:rFonts w:ascii="Arial" w:hAnsi="Arial" w:cs="Arial"/>
          <w:sz w:val="24"/>
          <w:szCs w:val="24"/>
        </w:rPr>
        <w:t xml:space="preserve"> in a relevant subject area</w:t>
      </w:r>
      <w:r w:rsidR="005D4D55">
        <w:rPr>
          <w:rFonts w:ascii="Arial" w:hAnsi="Arial" w:cs="Arial"/>
          <w:sz w:val="24"/>
          <w:szCs w:val="24"/>
        </w:rPr>
        <w:t>.</w:t>
      </w:r>
      <w:r w:rsidRPr="0044057B">
        <w:rPr>
          <w:rFonts w:ascii="Arial" w:hAnsi="Arial" w:cs="Arial"/>
          <w:sz w:val="24"/>
          <w:szCs w:val="24"/>
        </w:rPr>
        <w:t xml:space="preserve"> </w:t>
      </w:r>
    </w:p>
    <w:p w14:paraId="680FF8D0" w14:textId="77777777" w:rsidR="005D4D55" w:rsidRDefault="005D4D55" w:rsidP="005D4D55">
      <w:pPr>
        <w:spacing w:after="0" w:line="240" w:lineRule="auto"/>
        <w:jc w:val="both"/>
        <w:rPr>
          <w:rFonts w:ascii="Arial" w:hAnsi="Arial" w:cs="Arial"/>
          <w:sz w:val="24"/>
          <w:szCs w:val="24"/>
        </w:rPr>
      </w:pPr>
    </w:p>
    <w:p w14:paraId="32FAB1C4" w14:textId="1F71B3EB" w:rsidR="0044057B" w:rsidRPr="0044057B" w:rsidRDefault="00B24449" w:rsidP="005D4D55">
      <w:pPr>
        <w:spacing w:after="0" w:line="240" w:lineRule="auto"/>
        <w:jc w:val="both"/>
        <w:rPr>
          <w:rFonts w:ascii="Arial" w:hAnsi="Arial" w:cs="Arial"/>
          <w:sz w:val="24"/>
          <w:szCs w:val="24"/>
        </w:rPr>
      </w:pPr>
      <w:r w:rsidRPr="0044057B">
        <w:rPr>
          <w:rFonts w:ascii="Arial" w:hAnsi="Arial" w:cs="Arial"/>
          <w:sz w:val="24"/>
          <w:szCs w:val="24"/>
        </w:rPr>
        <w:t xml:space="preserve">The University of Leicester </w:t>
      </w:r>
      <w:r w:rsidRPr="00FA112B">
        <w:rPr>
          <w:rFonts w:ascii="Arial" w:hAnsi="Arial" w:cs="Arial"/>
          <w:sz w:val="24"/>
          <w:szCs w:val="24"/>
        </w:rPr>
        <w:t>English language</w:t>
      </w:r>
      <w:r w:rsidRPr="0044057B">
        <w:rPr>
          <w:rFonts w:ascii="Arial" w:hAnsi="Arial" w:cs="Arial"/>
          <w:sz w:val="24"/>
          <w:szCs w:val="24"/>
        </w:rPr>
        <w:t xml:space="preserve"> requirements apply where applicable</w:t>
      </w:r>
      <w:r w:rsidR="00FA112B">
        <w:rPr>
          <w:rFonts w:ascii="Arial" w:hAnsi="Arial" w:cs="Arial"/>
          <w:sz w:val="24"/>
          <w:szCs w:val="24"/>
        </w:rPr>
        <w:t xml:space="preserve">: </w:t>
      </w:r>
      <w:hyperlink r:id="rId9" w:history="1">
        <w:r w:rsidR="0044057B" w:rsidRPr="0044057B">
          <w:rPr>
            <w:rStyle w:val="Hyperlink"/>
            <w:rFonts w:ascii="Arial" w:hAnsi="Arial" w:cs="Arial"/>
            <w:sz w:val="24"/>
            <w:szCs w:val="24"/>
          </w:rPr>
          <w:t>https://le.ac.uk/study/research-degrees/entry-reqs/eng-lang-reqs/ielts-70</w:t>
        </w:r>
      </w:hyperlink>
    </w:p>
    <w:p w14:paraId="0D6922CB" w14:textId="56826898" w:rsidR="00B24449" w:rsidRPr="0044057B" w:rsidRDefault="00B24449" w:rsidP="005D4D55">
      <w:pPr>
        <w:spacing w:after="0" w:line="240" w:lineRule="auto"/>
        <w:jc w:val="both"/>
        <w:rPr>
          <w:rFonts w:ascii="Arial" w:hAnsi="Arial" w:cs="Arial"/>
          <w:sz w:val="24"/>
          <w:szCs w:val="24"/>
        </w:rPr>
      </w:pPr>
    </w:p>
    <w:p w14:paraId="0DBD3CFB" w14:textId="77777777" w:rsidR="00D1675B" w:rsidRPr="0044057B" w:rsidRDefault="00D1675B" w:rsidP="005D4D55">
      <w:pPr>
        <w:spacing w:after="0" w:line="240" w:lineRule="auto"/>
        <w:jc w:val="both"/>
        <w:rPr>
          <w:rFonts w:ascii="Arial" w:hAnsi="Arial" w:cs="Arial"/>
          <w:b/>
          <w:sz w:val="24"/>
          <w:szCs w:val="24"/>
        </w:rPr>
      </w:pPr>
      <w:r w:rsidRPr="0044057B">
        <w:rPr>
          <w:rFonts w:ascii="Arial" w:hAnsi="Arial" w:cs="Arial"/>
          <w:b/>
          <w:sz w:val="24"/>
          <w:szCs w:val="24"/>
        </w:rPr>
        <w:t>Application advice:</w:t>
      </w:r>
    </w:p>
    <w:p w14:paraId="2FD91CE3" w14:textId="30C7E5A6" w:rsidR="00FD74CF" w:rsidRPr="0044057B" w:rsidRDefault="00686A5A" w:rsidP="005D4D55">
      <w:pPr>
        <w:spacing w:after="0" w:line="240" w:lineRule="auto"/>
        <w:jc w:val="both"/>
        <w:rPr>
          <w:rFonts w:ascii="Arial" w:hAnsi="Arial" w:cs="Arial"/>
          <w:sz w:val="24"/>
          <w:szCs w:val="24"/>
        </w:rPr>
      </w:pPr>
      <w:r w:rsidRPr="0044057B">
        <w:rPr>
          <w:rFonts w:ascii="Arial" w:hAnsi="Arial" w:cs="Arial"/>
          <w:sz w:val="24"/>
          <w:szCs w:val="24"/>
        </w:rPr>
        <w:t>To apply please refer to</w:t>
      </w:r>
      <w:r w:rsidR="0044057B" w:rsidRPr="0044057B">
        <w:rPr>
          <w:rFonts w:ascii="Arial" w:hAnsi="Arial" w:cs="Arial"/>
          <w:sz w:val="24"/>
          <w:szCs w:val="24"/>
        </w:rPr>
        <w:t xml:space="preserve">: </w:t>
      </w:r>
      <w:hyperlink r:id="rId10" w:history="1">
        <w:r w:rsidR="0044057B" w:rsidRPr="0044057B">
          <w:rPr>
            <w:rStyle w:val="Hyperlink"/>
            <w:rFonts w:ascii="Arial" w:hAnsi="Arial" w:cs="Arial"/>
            <w:sz w:val="24"/>
            <w:szCs w:val="24"/>
          </w:rPr>
          <w:t>https://le.ac.uk/study/research-degrees/research-subjects/school-of-healthcare</w:t>
        </w:r>
      </w:hyperlink>
    </w:p>
    <w:p w14:paraId="579237C0" w14:textId="77777777" w:rsidR="005D4D55" w:rsidRDefault="005D4D55" w:rsidP="005D4D55">
      <w:pPr>
        <w:spacing w:after="0" w:line="240" w:lineRule="auto"/>
        <w:jc w:val="both"/>
        <w:rPr>
          <w:rFonts w:ascii="Arial" w:eastAsia="Times New Roman" w:hAnsi="Arial" w:cs="Arial"/>
          <w:sz w:val="24"/>
          <w:szCs w:val="24"/>
          <w:shd w:val="clear" w:color="auto" w:fill="FFFFFF"/>
          <w:lang w:eastAsia="en-GB"/>
        </w:rPr>
      </w:pPr>
    </w:p>
    <w:p w14:paraId="3735F0AE" w14:textId="08B9B645" w:rsidR="00686A5A" w:rsidRPr="0044057B" w:rsidRDefault="00B90549" w:rsidP="005D4D55">
      <w:pPr>
        <w:spacing w:after="0" w:line="240" w:lineRule="auto"/>
        <w:jc w:val="both"/>
        <w:rPr>
          <w:rFonts w:ascii="Arial" w:eastAsia="Times New Roman" w:hAnsi="Arial" w:cs="Arial"/>
          <w:sz w:val="24"/>
          <w:szCs w:val="24"/>
          <w:lang w:eastAsia="en-GB"/>
        </w:rPr>
      </w:pPr>
      <w:r w:rsidRPr="0044057B">
        <w:rPr>
          <w:rFonts w:ascii="Arial" w:eastAsia="Times New Roman" w:hAnsi="Arial" w:cs="Arial"/>
          <w:sz w:val="24"/>
          <w:szCs w:val="24"/>
          <w:shd w:val="clear" w:color="auto" w:fill="FFFFFF"/>
          <w:lang w:eastAsia="en-GB"/>
        </w:rPr>
        <w:t xml:space="preserve">With your </w:t>
      </w:r>
      <w:r w:rsidR="00686A5A" w:rsidRPr="0044057B">
        <w:rPr>
          <w:rFonts w:ascii="Arial" w:eastAsia="Times New Roman" w:hAnsi="Arial" w:cs="Arial"/>
          <w:sz w:val="24"/>
          <w:szCs w:val="24"/>
          <w:shd w:val="clear" w:color="auto" w:fill="FFFFFF"/>
          <w:lang w:eastAsia="en-GB"/>
        </w:rPr>
        <w:t>application, please include:</w:t>
      </w:r>
    </w:p>
    <w:p w14:paraId="2B5F103D" w14:textId="77777777" w:rsidR="00686A5A" w:rsidRPr="005D4D55" w:rsidRDefault="00686A5A" w:rsidP="005D4D55">
      <w:pPr>
        <w:pStyle w:val="ListParagraph"/>
        <w:numPr>
          <w:ilvl w:val="0"/>
          <w:numId w:val="13"/>
        </w:numPr>
        <w:spacing w:after="0" w:line="240" w:lineRule="auto"/>
        <w:jc w:val="both"/>
        <w:rPr>
          <w:rFonts w:ascii="Arial" w:eastAsia="Times New Roman" w:hAnsi="Arial" w:cs="Arial"/>
          <w:sz w:val="24"/>
          <w:szCs w:val="24"/>
          <w:lang w:eastAsia="en-GB"/>
        </w:rPr>
      </w:pPr>
      <w:r w:rsidRPr="005D4D55">
        <w:rPr>
          <w:rFonts w:ascii="Arial" w:eastAsia="Times New Roman" w:hAnsi="Arial" w:cs="Arial"/>
          <w:sz w:val="24"/>
          <w:szCs w:val="24"/>
          <w:lang w:eastAsia="en-GB"/>
        </w:rPr>
        <w:t>CV</w:t>
      </w:r>
    </w:p>
    <w:p w14:paraId="78FEC382" w14:textId="77777777" w:rsidR="00686A5A" w:rsidRPr="005D4D55" w:rsidRDefault="00686A5A" w:rsidP="005D4D55">
      <w:pPr>
        <w:pStyle w:val="ListParagraph"/>
        <w:numPr>
          <w:ilvl w:val="0"/>
          <w:numId w:val="13"/>
        </w:numPr>
        <w:spacing w:after="0" w:line="240" w:lineRule="auto"/>
        <w:jc w:val="both"/>
        <w:rPr>
          <w:rFonts w:ascii="Arial" w:eastAsia="Times New Roman" w:hAnsi="Arial" w:cs="Arial"/>
          <w:sz w:val="24"/>
          <w:szCs w:val="24"/>
          <w:lang w:eastAsia="en-GB"/>
        </w:rPr>
      </w:pPr>
      <w:r w:rsidRPr="005D4D55">
        <w:rPr>
          <w:rFonts w:ascii="Arial" w:eastAsia="Times New Roman" w:hAnsi="Arial" w:cs="Arial"/>
          <w:sz w:val="24"/>
          <w:szCs w:val="24"/>
          <w:lang w:eastAsia="en-GB"/>
        </w:rPr>
        <w:t>Personal statement explaining your interest in the project, your experienc</w:t>
      </w:r>
      <w:r w:rsidR="00D9468D" w:rsidRPr="005D4D55">
        <w:rPr>
          <w:rFonts w:ascii="Arial" w:eastAsia="Times New Roman" w:hAnsi="Arial" w:cs="Arial"/>
          <w:sz w:val="24"/>
          <w:szCs w:val="24"/>
          <w:lang w:eastAsia="en-GB"/>
        </w:rPr>
        <w:t>e, why we should consider you in addition to confirmation of how you will pay your fees.</w:t>
      </w:r>
    </w:p>
    <w:p w14:paraId="609F39C7" w14:textId="77777777" w:rsidR="00686A5A" w:rsidRPr="005D4D55" w:rsidRDefault="00686A5A" w:rsidP="005D4D55">
      <w:pPr>
        <w:pStyle w:val="ListParagraph"/>
        <w:numPr>
          <w:ilvl w:val="0"/>
          <w:numId w:val="13"/>
        </w:numPr>
        <w:spacing w:after="0" w:line="240" w:lineRule="auto"/>
        <w:jc w:val="both"/>
        <w:rPr>
          <w:rFonts w:ascii="Arial" w:eastAsia="Times New Roman" w:hAnsi="Arial" w:cs="Arial"/>
          <w:sz w:val="24"/>
          <w:szCs w:val="24"/>
          <w:lang w:eastAsia="en-GB"/>
        </w:rPr>
      </w:pPr>
      <w:r w:rsidRPr="005D4D55">
        <w:rPr>
          <w:rFonts w:ascii="Arial" w:eastAsia="Times New Roman" w:hAnsi="Arial" w:cs="Arial"/>
          <w:sz w:val="24"/>
          <w:szCs w:val="24"/>
          <w:lang w:eastAsia="en-GB"/>
        </w:rPr>
        <w:t xml:space="preserve">Degree Certificates and Transcripts of study already completed and if </w:t>
      </w:r>
      <w:proofErr w:type="gramStart"/>
      <w:r w:rsidRPr="005D4D55">
        <w:rPr>
          <w:rFonts w:ascii="Arial" w:eastAsia="Times New Roman" w:hAnsi="Arial" w:cs="Arial"/>
          <w:sz w:val="24"/>
          <w:szCs w:val="24"/>
          <w:lang w:eastAsia="en-GB"/>
        </w:rPr>
        <w:t>possible</w:t>
      </w:r>
      <w:proofErr w:type="gramEnd"/>
      <w:r w:rsidRPr="005D4D55">
        <w:rPr>
          <w:rFonts w:ascii="Arial" w:eastAsia="Times New Roman" w:hAnsi="Arial" w:cs="Arial"/>
          <w:sz w:val="24"/>
          <w:szCs w:val="24"/>
          <w:lang w:eastAsia="en-GB"/>
        </w:rPr>
        <w:t xml:space="preserve"> transcript to date of study currently being undertaken</w:t>
      </w:r>
    </w:p>
    <w:p w14:paraId="57786254" w14:textId="77777777" w:rsidR="00686A5A" w:rsidRPr="005D4D55" w:rsidRDefault="00686A5A" w:rsidP="005D4D55">
      <w:pPr>
        <w:pStyle w:val="ListParagraph"/>
        <w:numPr>
          <w:ilvl w:val="0"/>
          <w:numId w:val="13"/>
        </w:numPr>
        <w:spacing w:after="0" w:line="240" w:lineRule="auto"/>
        <w:jc w:val="both"/>
        <w:rPr>
          <w:rFonts w:ascii="Arial" w:eastAsia="Times New Roman" w:hAnsi="Arial" w:cs="Arial"/>
          <w:sz w:val="24"/>
          <w:szCs w:val="24"/>
          <w:lang w:eastAsia="en-GB"/>
        </w:rPr>
      </w:pPr>
      <w:r w:rsidRPr="005D4D55">
        <w:rPr>
          <w:rFonts w:ascii="Arial" w:eastAsia="Times New Roman" w:hAnsi="Arial" w:cs="Arial"/>
          <w:sz w:val="24"/>
          <w:szCs w:val="24"/>
          <w:lang w:eastAsia="en-GB"/>
        </w:rPr>
        <w:t>Evidence of English language proficiency if applicable</w:t>
      </w:r>
    </w:p>
    <w:p w14:paraId="406124F4" w14:textId="77777777" w:rsidR="00686A5A" w:rsidRPr="005D4D55" w:rsidRDefault="00686A5A" w:rsidP="005D4D55">
      <w:pPr>
        <w:pStyle w:val="ListParagraph"/>
        <w:numPr>
          <w:ilvl w:val="0"/>
          <w:numId w:val="13"/>
        </w:numPr>
        <w:spacing w:after="0" w:line="240" w:lineRule="auto"/>
        <w:jc w:val="both"/>
        <w:rPr>
          <w:rFonts w:ascii="Arial" w:eastAsia="Times New Roman" w:hAnsi="Arial" w:cs="Arial"/>
          <w:sz w:val="24"/>
          <w:szCs w:val="24"/>
          <w:lang w:eastAsia="en-GB"/>
        </w:rPr>
      </w:pPr>
      <w:r w:rsidRPr="005D4D55">
        <w:rPr>
          <w:rFonts w:ascii="Arial" w:eastAsia="Times New Roman" w:hAnsi="Arial" w:cs="Arial"/>
          <w:sz w:val="24"/>
          <w:szCs w:val="24"/>
          <w:lang w:eastAsia="en-GB"/>
        </w:rPr>
        <w:t>In the reference section please enter the contact details of your two academic referees in the boxes provided or upload letters of reference if already available.</w:t>
      </w:r>
    </w:p>
    <w:p w14:paraId="67B54D2C" w14:textId="77777777" w:rsidR="005D4D55" w:rsidRDefault="005D4D55" w:rsidP="005D4D55">
      <w:pPr>
        <w:spacing w:after="0" w:line="240" w:lineRule="auto"/>
        <w:jc w:val="both"/>
        <w:rPr>
          <w:rFonts w:ascii="Arial" w:eastAsia="Times New Roman" w:hAnsi="Arial" w:cs="Arial"/>
          <w:i/>
          <w:iCs/>
          <w:sz w:val="24"/>
          <w:szCs w:val="24"/>
          <w:shd w:val="clear" w:color="auto" w:fill="FFFFFF"/>
          <w:lang w:eastAsia="en-GB"/>
        </w:rPr>
      </w:pPr>
    </w:p>
    <w:p w14:paraId="7334B481" w14:textId="08029FB3" w:rsidR="00D1675B" w:rsidRPr="00D417FF" w:rsidRDefault="00D1675B" w:rsidP="005D4D55">
      <w:pPr>
        <w:spacing w:after="0" w:line="240" w:lineRule="auto"/>
        <w:jc w:val="both"/>
        <w:rPr>
          <w:rFonts w:ascii="Arial" w:eastAsia="Times New Roman" w:hAnsi="Arial" w:cs="Arial"/>
          <w:i/>
          <w:iCs/>
          <w:sz w:val="24"/>
          <w:szCs w:val="24"/>
          <w:lang w:eastAsia="en-GB"/>
        </w:rPr>
      </w:pPr>
      <w:r w:rsidRPr="00D417FF">
        <w:rPr>
          <w:rFonts w:ascii="Arial" w:eastAsia="Times New Roman" w:hAnsi="Arial" w:cs="Arial"/>
          <w:i/>
          <w:iCs/>
          <w:sz w:val="24"/>
          <w:szCs w:val="24"/>
          <w:shd w:val="clear" w:color="auto" w:fill="FFFFFF"/>
          <w:lang w:eastAsia="en-GB"/>
        </w:rPr>
        <w:t>In the proposal section please provide the name of the supervisors and project title (a proposal is not required)</w:t>
      </w:r>
    </w:p>
    <w:p w14:paraId="6CA3080F" w14:textId="57313B6E" w:rsidR="00DC7AB5" w:rsidRDefault="00DC7AB5" w:rsidP="005D4D55">
      <w:pPr>
        <w:spacing w:after="0" w:line="240" w:lineRule="auto"/>
        <w:jc w:val="both"/>
        <w:rPr>
          <w:rFonts w:ascii="Arial" w:hAnsi="Arial" w:cs="Arial"/>
          <w:sz w:val="24"/>
          <w:szCs w:val="24"/>
        </w:rPr>
      </w:pPr>
    </w:p>
    <w:p w14:paraId="6DABB131" w14:textId="659A2D95" w:rsidR="00F3234E" w:rsidRPr="00F3234E" w:rsidRDefault="00F3234E" w:rsidP="005D4D55">
      <w:pPr>
        <w:spacing w:after="0" w:line="240" w:lineRule="auto"/>
        <w:jc w:val="both"/>
        <w:rPr>
          <w:rFonts w:ascii="Arial" w:hAnsi="Arial" w:cs="Arial"/>
          <w:sz w:val="24"/>
          <w:szCs w:val="24"/>
        </w:rPr>
      </w:pPr>
      <w:r>
        <w:rPr>
          <w:rFonts w:ascii="Arial" w:hAnsi="Arial" w:cs="Arial"/>
          <w:sz w:val="24"/>
          <w:szCs w:val="24"/>
        </w:rPr>
        <w:t xml:space="preserve">Application and project queries to </w:t>
      </w:r>
      <w:hyperlink r:id="rId11" w:history="1">
        <w:r w:rsidRPr="00A31551">
          <w:rPr>
            <w:rStyle w:val="Hyperlink"/>
            <w:rFonts w:ascii="Arial" w:hAnsi="Arial" w:cs="Arial"/>
            <w:sz w:val="24"/>
            <w:szCs w:val="24"/>
          </w:rPr>
          <w:t>soh-pgr@le.ac.uk</w:t>
        </w:r>
      </w:hyperlink>
    </w:p>
    <w:sectPr w:rsidR="00F3234E" w:rsidRPr="00F3234E" w:rsidSect="00A738D9">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52C3"/>
    <w:multiLevelType w:val="hybridMultilevel"/>
    <w:tmpl w:val="7E7A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E2D14"/>
    <w:multiLevelType w:val="hybridMultilevel"/>
    <w:tmpl w:val="3CF6F3F8"/>
    <w:lvl w:ilvl="0" w:tplc="1EA61C2A">
      <w:start w:val="1"/>
      <w:numFmt w:val="bullet"/>
      <w:lvlText w:val=""/>
      <w:lvlJc w:val="left"/>
      <w:pPr>
        <w:ind w:left="720" w:hanging="360"/>
      </w:pPr>
      <w:rPr>
        <w:rFonts w:ascii="Symbol" w:hAnsi="Symbol" w:hint="default"/>
      </w:rPr>
    </w:lvl>
    <w:lvl w:ilvl="1" w:tplc="D7FA39B4">
      <w:start w:val="1"/>
      <w:numFmt w:val="bullet"/>
      <w:lvlText w:val="o"/>
      <w:lvlJc w:val="left"/>
      <w:pPr>
        <w:ind w:left="1440" w:hanging="360"/>
      </w:pPr>
      <w:rPr>
        <w:rFonts w:ascii="Courier New" w:hAnsi="Courier New" w:hint="default"/>
      </w:rPr>
    </w:lvl>
    <w:lvl w:ilvl="2" w:tplc="012C43CC">
      <w:start w:val="1"/>
      <w:numFmt w:val="bullet"/>
      <w:lvlText w:val=""/>
      <w:lvlJc w:val="left"/>
      <w:pPr>
        <w:ind w:left="2160" w:hanging="360"/>
      </w:pPr>
      <w:rPr>
        <w:rFonts w:ascii="Wingdings" w:hAnsi="Wingdings" w:hint="default"/>
      </w:rPr>
    </w:lvl>
    <w:lvl w:ilvl="3" w:tplc="7996FC66">
      <w:start w:val="1"/>
      <w:numFmt w:val="bullet"/>
      <w:lvlText w:val=""/>
      <w:lvlJc w:val="left"/>
      <w:pPr>
        <w:ind w:left="2880" w:hanging="360"/>
      </w:pPr>
      <w:rPr>
        <w:rFonts w:ascii="Symbol" w:hAnsi="Symbol" w:hint="default"/>
      </w:rPr>
    </w:lvl>
    <w:lvl w:ilvl="4" w:tplc="75E2C468">
      <w:start w:val="1"/>
      <w:numFmt w:val="bullet"/>
      <w:lvlText w:val="o"/>
      <w:lvlJc w:val="left"/>
      <w:pPr>
        <w:ind w:left="3600" w:hanging="360"/>
      </w:pPr>
      <w:rPr>
        <w:rFonts w:ascii="Courier New" w:hAnsi="Courier New" w:hint="default"/>
      </w:rPr>
    </w:lvl>
    <w:lvl w:ilvl="5" w:tplc="5492D436">
      <w:start w:val="1"/>
      <w:numFmt w:val="bullet"/>
      <w:lvlText w:val=""/>
      <w:lvlJc w:val="left"/>
      <w:pPr>
        <w:ind w:left="4320" w:hanging="360"/>
      </w:pPr>
      <w:rPr>
        <w:rFonts w:ascii="Wingdings" w:hAnsi="Wingdings" w:hint="default"/>
      </w:rPr>
    </w:lvl>
    <w:lvl w:ilvl="6" w:tplc="D16CCCA2">
      <w:start w:val="1"/>
      <w:numFmt w:val="bullet"/>
      <w:lvlText w:val=""/>
      <w:lvlJc w:val="left"/>
      <w:pPr>
        <w:ind w:left="5040" w:hanging="360"/>
      </w:pPr>
      <w:rPr>
        <w:rFonts w:ascii="Symbol" w:hAnsi="Symbol" w:hint="default"/>
      </w:rPr>
    </w:lvl>
    <w:lvl w:ilvl="7" w:tplc="1506C444">
      <w:start w:val="1"/>
      <w:numFmt w:val="bullet"/>
      <w:lvlText w:val="o"/>
      <w:lvlJc w:val="left"/>
      <w:pPr>
        <w:ind w:left="5760" w:hanging="360"/>
      </w:pPr>
      <w:rPr>
        <w:rFonts w:ascii="Courier New" w:hAnsi="Courier New" w:hint="default"/>
      </w:rPr>
    </w:lvl>
    <w:lvl w:ilvl="8" w:tplc="11A42886">
      <w:start w:val="1"/>
      <w:numFmt w:val="bullet"/>
      <w:lvlText w:val=""/>
      <w:lvlJc w:val="left"/>
      <w:pPr>
        <w:ind w:left="6480" w:hanging="360"/>
      </w:pPr>
      <w:rPr>
        <w:rFonts w:ascii="Wingdings" w:hAnsi="Wingdings" w:hint="default"/>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E1228"/>
    <w:multiLevelType w:val="hybridMultilevel"/>
    <w:tmpl w:val="8224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6A536"/>
    <w:multiLevelType w:val="hybridMultilevel"/>
    <w:tmpl w:val="AC32A21E"/>
    <w:lvl w:ilvl="0" w:tplc="0666B686">
      <w:start w:val="1"/>
      <w:numFmt w:val="bullet"/>
      <w:lvlText w:val=""/>
      <w:lvlJc w:val="left"/>
      <w:pPr>
        <w:ind w:left="720" w:hanging="360"/>
      </w:pPr>
      <w:rPr>
        <w:rFonts w:ascii="Symbol" w:hAnsi="Symbol" w:hint="default"/>
      </w:rPr>
    </w:lvl>
    <w:lvl w:ilvl="1" w:tplc="C9E00C8E">
      <w:start w:val="1"/>
      <w:numFmt w:val="bullet"/>
      <w:lvlText w:val="o"/>
      <w:lvlJc w:val="left"/>
      <w:pPr>
        <w:ind w:left="1440" w:hanging="360"/>
      </w:pPr>
      <w:rPr>
        <w:rFonts w:ascii="Courier New" w:hAnsi="Courier New" w:hint="default"/>
      </w:rPr>
    </w:lvl>
    <w:lvl w:ilvl="2" w:tplc="07103872">
      <w:start w:val="1"/>
      <w:numFmt w:val="bullet"/>
      <w:lvlText w:val=""/>
      <w:lvlJc w:val="left"/>
      <w:pPr>
        <w:ind w:left="2160" w:hanging="360"/>
      </w:pPr>
      <w:rPr>
        <w:rFonts w:ascii="Wingdings" w:hAnsi="Wingdings" w:hint="default"/>
      </w:rPr>
    </w:lvl>
    <w:lvl w:ilvl="3" w:tplc="CAD62430">
      <w:start w:val="1"/>
      <w:numFmt w:val="bullet"/>
      <w:lvlText w:val=""/>
      <w:lvlJc w:val="left"/>
      <w:pPr>
        <w:ind w:left="2880" w:hanging="360"/>
      </w:pPr>
      <w:rPr>
        <w:rFonts w:ascii="Symbol" w:hAnsi="Symbol" w:hint="default"/>
      </w:rPr>
    </w:lvl>
    <w:lvl w:ilvl="4" w:tplc="A5D2050A">
      <w:start w:val="1"/>
      <w:numFmt w:val="bullet"/>
      <w:lvlText w:val="o"/>
      <w:lvlJc w:val="left"/>
      <w:pPr>
        <w:ind w:left="3600" w:hanging="360"/>
      </w:pPr>
      <w:rPr>
        <w:rFonts w:ascii="Courier New" w:hAnsi="Courier New" w:hint="default"/>
      </w:rPr>
    </w:lvl>
    <w:lvl w:ilvl="5" w:tplc="B5E0DEF4">
      <w:start w:val="1"/>
      <w:numFmt w:val="bullet"/>
      <w:lvlText w:val=""/>
      <w:lvlJc w:val="left"/>
      <w:pPr>
        <w:ind w:left="4320" w:hanging="360"/>
      </w:pPr>
      <w:rPr>
        <w:rFonts w:ascii="Wingdings" w:hAnsi="Wingdings" w:hint="default"/>
      </w:rPr>
    </w:lvl>
    <w:lvl w:ilvl="6" w:tplc="C3F299CE">
      <w:start w:val="1"/>
      <w:numFmt w:val="bullet"/>
      <w:lvlText w:val=""/>
      <w:lvlJc w:val="left"/>
      <w:pPr>
        <w:ind w:left="5040" w:hanging="360"/>
      </w:pPr>
      <w:rPr>
        <w:rFonts w:ascii="Symbol" w:hAnsi="Symbol" w:hint="default"/>
      </w:rPr>
    </w:lvl>
    <w:lvl w:ilvl="7" w:tplc="F03278A0">
      <w:start w:val="1"/>
      <w:numFmt w:val="bullet"/>
      <w:lvlText w:val="o"/>
      <w:lvlJc w:val="left"/>
      <w:pPr>
        <w:ind w:left="5760" w:hanging="360"/>
      </w:pPr>
      <w:rPr>
        <w:rFonts w:ascii="Courier New" w:hAnsi="Courier New" w:hint="default"/>
      </w:rPr>
    </w:lvl>
    <w:lvl w:ilvl="8" w:tplc="16D2F4CE">
      <w:start w:val="1"/>
      <w:numFmt w:val="bullet"/>
      <w:lvlText w:val=""/>
      <w:lvlJc w:val="left"/>
      <w:pPr>
        <w:ind w:left="6480" w:hanging="360"/>
      </w:pPr>
      <w:rPr>
        <w:rFonts w:ascii="Wingdings" w:hAnsi="Wingdings" w:hint="default"/>
      </w:rPr>
    </w:lvl>
  </w:abstractNum>
  <w:abstractNum w:abstractNumId="7"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F0983"/>
    <w:multiLevelType w:val="hybridMultilevel"/>
    <w:tmpl w:val="3E08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36CD0"/>
    <w:multiLevelType w:val="hybridMultilevel"/>
    <w:tmpl w:val="49FEF3E6"/>
    <w:lvl w:ilvl="0" w:tplc="42BA3F26">
      <w:start w:val="1"/>
      <w:numFmt w:val="bullet"/>
      <w:lvlText w:val=""/>
      <w:lvlJc w:val="left"/>
      <w:pPr>
        <w:ind w:left="720" w:hanging="360"/>
      </w:pPr>
      <w:rPr>
        <w:rFonts w:ascii="Symbol" w:hAnsi="Symbol" w:hint="default"/>
      </w:rPr>
    </w:lvl>
    <w:lvl w:ilvl="1" w:tplc="08389E10">
      <w:start w:val="1"/>
      <w:numFmt w:val="bullet"/>
      <w:lvlText w:val="o"/>
      <w:lvlJc w:val="left"/>
      <w:pPr>
        <w:ind w:left="1440" w:hanging="360"/>
      </w:pPr>
      <w:rPr>
        <w:rFonts w:ascii="Courier New" w:hAnsi="Courier New" w:hint="default"/>
      </w:rPr>
    </w:lvl>
    <w:lvl w:ilvl="2" w:tplc="4F087AB8">
      <w:start w:val="1"/>
      <w:numFmt w:val="bullet"/>
      <w:lvlText w:val=""/>
      <w:lvlJc w:val="left"/>
      <w:pPr>
        <w:ind w:left="2160" w:hanging="360"/>
      </w:pPr>
      <w:rPr>
        <w:rFonts w:ascii="Wingdings" w:hAnsi="Wingdings" w:hint="default"/>
      </w:rPr>
    </w:lvl>
    <w:lvl w:ilvl="3" w:tplc="45B6D2FE">
      <w:start w:val="1"/>
      <w:numFmt w:val="bullet"/>
      <w:lvlText w:val=""/>
      <w:lvlJc w:val="left"/>
      <w:pPr>
        <w:ind w:left="2880" w:hanging="360"/>
      </w:pPr>
      <w:rPr>
        <w:rFonts w:ascii="Symbol" w:hAnsi="Symbol" w:hint="default"/>
      </w:rPr>
    </w:lvl>
    <w:lvl w:ilvl="4" w:tplc="E272BDEC">
      <w:start w:val="1"/>
      <w:numFmt w:val="bullet"/>
      <w:lvlText w:val="o"/>
      <w:lvlJc w:val="left"/>
      <w:pPr>
        <w:ind w:left="3600" w:hanging="360"/>
      </w:pPr>
      <w:rPr>
        <w:rFonts w:ascii="Courier New" w:hAnsi="Courier New" w:hint="default"/>
      </w:rPr>
    </w:lvl>
    <w:lvl w:ilvl="5" w:tplc="8348CA4C">
      <w:start w:val="1"/>
      <w:numFmt w:val="bullet"/>
      <w:lvlText w:val=""/>
      <w:lvlJc w:val="left"/>
      <w:pPr>
        <w:ind w:left="4320" w:hanging="360"/>
      </w:pPr>
      <w:rPr>
        <w:rFonts w:ascii="Wingdings" w:hAnsi="Wingdings" w:hint="default"/>
      </w:rPr>
    </w:lvl>
    <w:lvl w:ilvl="6" w:tplc="7B6EA8F8">
      <w:start w:val="1"/>
      <w:numFmt w:val="bullet"/>
      <w:lvlText w:val=""/>
      <w:lvlJc w:val="left"/>
      <w:pPr>
        <w:ind w:left="5040" w:hanging="360"/>
      </w:pPr>
      <w:rPr>
        <w:rFonts w:ascii="Symbol" w:hAnsi="Symbol" w:hint="default"/>
      </w:rPr>
    </w:lvl>
    <w:lvl w:ilvl="7" w:tplc="9BE2C42E">
      <w:start w:val="1"/>
      <w:numFmt w:val="bullet"/>
      <w:lvlText w:val="o"/>
      <w:lvlJc w:val="left"/>
      <w:pPr>
        <w:ind w:left="5760" w:hanging="360"/>
      </w:pPr>
      <w:rPr>
        <w:rFonts w:ascii="Courier New" w:hAnsi="Courier New" w:hint="default"/>
      </w:rPr>
    </w:lvl>
    <w:lvl w:ilvl="8" w:tplc="AE6AB2E6">
      <w:start w:val="1"/>
      <w:numFmt w:val="bullet"/>
      <w:lvlText w:val=""/>
      <w:lvlJc w:val="left"/>
      <w:pPr>
        <w:ind w:left="6480" w:hanging="360"/>
      </w:pPr>
      <w:rPr>
        <w:rFonts w:ascii="Wingdings" w:hAnsi="Wingdings" w:hint="default"/>
      </w:rPr>
    </w:lvl>
  </w:abstractNum>
  <w:abstractNum w:abstractNumId="12"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5"/>
  </w:num>
  <w:num w:numId="5">
    <w:abstractNumId w:val="2"/>
  </w:num>
  <w:num w:numId="6">
    <w:abstractNumId w:val="9"/>
  </w:num>
  <w:num w:numId="7">
    <w:abstractNumId w:val="3"/>
  </w:num>
  <w:num w:numId="8">
    <w:abstractNumId w:val="0"/>
  </w:num>
  <w:num w:numId="9">
    <w:abstractNumId w:val="10"/>
  </w:num>
  <w:num w:numId="10">
    <w:abstractNumId w:val="11"/>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dtszrs7f52vnevat4p2fvmf599v9svfffw&quot;&gt;My EndNote Library&lt;record-ids&gt;&lt;item&gt;416&lt;/item&gt;&lt;item&gt;418&lt;/item&gt;&lt;item&gt;520&lt;/item&gt;&lt;item&gt;521&lt;/item&gt;&lt;/record-ids&gt;&lt;/item&gt;&lt;/Libraries&gt;"/>
  </w:docVars>
  <w:rsids>
    <w:rsidRoot w:val="00186CBA"/>
    <w:rsid w:val="0002495F"/>
    <w:rsid w:val="00033BDA"/>
    <w:rsid w:val="0009661B"/>
    <w:rsid w:val="000B2A76"/>
    <w:rsid w:val="000B797E"/>
    <w:rsid w:val="00186CBA"/>
    <w:rsid w:val="0019477B"/>
    <w:rsid w:val="001A1F19"/>
    <w:rsid w:val="0021346A"/>
    <w:rsid w:val="00242BA4"/>
    <w:rsid w:val="002837AA"/>
    <w:rsid w:val="002C1707"/>
    <w:rsid w:val="00330074"/>
    <w:rsid w:val="003A0C1F"/>
    <w:rsid w:val="003A7DC7"/>
    <w:rsid w:val="003A7DE6"/>
    <w:rsid w:val="003E3E31"/>
    <w:rsid w:val="0044057B"/>
    <w:rsid w:val="004C2F09"/>
    <w:rsid w:val="005D4D55"/>
    <w:rsid w:val="005F7F9C"/>
    <w:rsid w:val="00630C71"/>
    <w:rsid w:val="00681329"/>
    <w:rsid w:val="00686A5A"/>
    <w:rsid w:val="00797C94"/>
    <w:rsid w:val="007F3C5D"/>
    <w:rsid w:val="008862CC"/>
    <w:rsid w:val="00A03F37"/>
    <w:rsid w:val="00A5584E"/>
    <w:rsid w:val="00A738D9"/>
    <w:rsid w:val="00B24449"/>
    <w:rsid w:val="00B549BA"/>
    <w:rsid w:val="00B90549"/>
    <w:rsid w:val="00BB2974"/>
    <w:rsid w:val="00C012DF"/>
    <w:rsid w:val="00C054FF"/>
    <w:rsid w:val="00C73E0B"/>
    <w:rsid w:val="00CA0BCF"/>
    <w:rsid w:val="00D1675B"/>
    <w:rsid w:val="00D408A7"/>
    <w:rsid w:val="00D417FF"/>
    <w:rsid w:val="00D511CA"/>
    <w:rsid w:val="00D9468D"/>
    <w:rsid w:val="00DC7AB5"/>
    <w:rsid w:val="00E061AC"/>
    <w:rsid w:val="00E3437F"/>
    <w:rsid w:val="00E559AB"/>
    <w:rsid w:val="00E7657A"/>
    <w:rsid w:val="00F3234E"/>
    <w:rsid w:val="00F73E87"/>
    <w:rsid w:val="00F97D52"/>
    <w:rsid w:val="00FA112B"/>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83C2"/>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D4D55"/>
    <w:pPr>
      <w:widowControl w:val="0"/>
      <w:autoSpaceDE w:val="0"/>
      <w:autoSpaceDN w:val="0"/>
      <w:spacing w:after="0" w:line="240" w:lineRule="auto"/>
      <w:ind w:left="100" w:hanging="220"/>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link w:val="NoSpacingChar"/>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C1707"/>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2C1707"/>
  </w:style>
  <w:style w:type="character" w:customStyle="1" w:styleId="EndNoteBibliographyTitleChar">
    <w:name w:val="EndNote Bibliography Title Char"/>
    <w:basedOn w:val="NoSpacingChar"/>
    <w:link w:val="EndNoteBibliographyTitle"/>
    <w:rsid w:val="002C1707"/>
    <w:rPr>
      <w:rFonts w:ascii="Calibri" w:hAnsi="Calibri" w:cs="Calibri"/>
      <w:noProof/>
      <w:lang w:val="en-US"/>
    </w:rPr>
  </w:style>
  <w:style w:type="paragraph" w:customStyle="1" w:styleId="EndNoteBibliography">
    <w:name w:val="EndNote Bibliography"/>
    <w:basedOn w:val="Normal"/>
    <w:link w:val="EndNoteBibliographyChar"/>
    <w:rsid w:val="002C1707"/>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2C1707"/>
    <w:rPr>
      <w:rFonts w:ascii="Calibri" w:hAnsi="Calibri" w:cs="Calibri"/>
      <w:noProof/>
      <w:lang w:val="en-US"/>
    </w:rPr>
  </w:style>
  <w:style w:type="character" w:styleId="UnresolvedMention">
    <w:name w:val="Unresolved Mention"/>
    <w:basedOn w:val="DefaultParagraphFont"/>
    <w:uiPriority w:val="99"/>
    <w:semiHidden/>
    <w:unhideWhenUsed/>
    <w:rsid w:val="00681329"/>
    <w:rPr>
      <w:color w:val="605E5C"/>
      <w:shd w:val="clear" w:color="auto" w:fill="E1DFDD"/>
    </w:rPr>
  </w:style>
  <w:style w:type="character" w:customStyle="1" w:styleId="Heading2Char">
    <w:name w:val="Heading 2 Char"/>
    <w:basedOn w:val="DefaultParagraphFont"/>
    <w:link w:val="Heading2"/>
    <w:uiPriority w:val="1"/>
    <w:rsid w:val="005D4D55"/>
    <w:rPr>
      <w:rFonts w:ascii="Calibri" w:eastAsia="Calibri" w:hAnsi="Calibri" w:cs="Calibri"/>
      <w:b/>
      <w:bCs/>
      <w:lang w:val="en-US"/>
    </w:rPr>
  </w:style>
  <w:style w:type="table" w:styleId="TableGrid">
    <w:name w:val="Table Grid"/>
    <w:basedOn w:val="TableNormal"/>
    <w:uiPriority w:val="59"/>
    <w:rsid w:val="005D4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4020">
      <w:bodyDiv w:val="1"/>
      <w:marLeft w:val="0"/>
      <w:marRight w:val="0"/>
      <w:marTop w:val="0"/>
      <w:marBottom w:val="0"/>
      <w:divBdr>
        <w:top w:val="none" w:sz="0" w:space="0" w:color="auto"/>
        <w:left w:val="none" w:sz="0" w:space="0" w:color="auto"/>
        <w:bottom w:val="none" w:sz="0" w:space="0" w:color="auto"/>
        <w:right w:val="none" w:sz="0" w:space="0" w:color="auto"/>
      </w:divBdr>
    </w:div>
    <w:div w:id="476148408">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research-subjects/school-of-health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th.oneill@leicester.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555@leicester.ac.uk" TargetMode="External"/><Relationship Id="rId11" Type="http://schemas.openxmlformats.org/officeDocument/2006/relationships/hyperlink" Target="mailto:soh-pgr@le.ac.uk" TargetMode="External"/><Relationship Id="rId5" Type="http://schemas.openxmlformats.org/officeDocument/2006/relationships/webSettings" Target="webSettings.xml"/><Relationship Id="rId10" Type="http://schemas.openxmlformats.org/officeDocument/2006/relationships/hyperlink" Target="https://le.ac.uk/study/research-degrees/research-subjects/school-of-healthcare" TargetMode="External"/><Relationship Id="rId4" Type="http://schemas.openxmlformats.org/officeDocument/2006/relationships/settings" Target="settings.xml"/><Relationship Id="rId9" Type="http://schemas.openxmlformats.org/officeDocument/2006/relationships/hyperlink" Target="https://le.ac.uk/study/research-degrees/entry-reqs/eng-lang-reqs/ielts-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7D72-EAB6-4369-BD76-02D842F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3</cp:revision>
  <dcterms:created xsi:type="dcterms:W3CDTF">2024-06-06T08:30:00Z</dcterms:created>
  <dcterms:modified xsi:type="dcterms:W3CDTF">2024-06-07T07:57:00Z</dcterms:modified>
</cp:coreProperties>
</file>