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9E85" w14:textId="1B1B1E88" w:rsidR="00AE49DF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 xml:space="preserve">University of Leicester </w:t>
      </w:r>
    </w:p>
    <w:p w14:paraId="7C5B05E5" w14:textId="5436386D" w:rsidR="00F038B2" w:rsidRPr="00F038B2" w:rsidRDefault="00F038B2" w:rsidP="00F038B2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auto"/>
          <w:sz w:val="28"/>
          <w:szCs w:val="28"/>
        </w:rPr>
      </w:pPr>
      <w:r w:rsidRPr="00F038B2">
        <w:rPr>
          <w:rFonts w:asciiTheme="majorHAnsi" w:hAnsiTheme="majorHAnsi" w:cstheme="majorHAnsi"/>
          <w:b/>
          <w:bCs/>
          <w:color w:val="auto"/>
          <w:sz w:val="28"/>
          <w:szCs w:val="28"/>
        </w:rPr>
        <w:t>MIBTP studentship project 202</w:t>
      </w:r>
      <w:r w:rsidR="006C600C">
        <w:rPr>
          <w:rFonts w:asciiTheme="majorHAnsi" w:hAnsiTheme="majorHAnsi" w:cstheme="majorHAnsi"/>
          <w:b/>
          <w:bCs/>
          <w:color w:val="auto"/>
          <w:sz w:val="28"/>
          <w:szCs w:val="28"/>
        </w:rPr>
        <w:t>7</w:t>
      </w:r>
    </w:p>
    <w:p w14:paraId="1F075E5A" w14:textId="77777777" w:rsidR="00066C81" w:rsidRDefault="00066C81" w:rsidP="00066C81">
      <w:pPr>
        <w:spacing w:after="0" w:line="240" w:lineRule="auto"/>
      </w:pPr>
    </w:p>
    <w:tbl>
      <w:tblPr>
        <w:tblStyle w:val="TableGrid1"/>
        <w:tblW w:w="9034" w:type="dxa"/>
        <w:tblLayout w:type="fixed"/>
        <w:tblLook w:val="04A0" w:firstRow="1" w:lastRow="0" w:firstColumn="1" w:lastColumn="0" w:noHBand="0" w:noVBand="1"/>
      </w:tblPr>
      <w:tblGrid>
        <w:gridCol w:w="3227"/>
        <w:gridCol w:w="5807"/>
      </w:tblGrid>
      <w:tr w:rsidR="00066C81" w:rsidRPr="00066C81" w14:paraId="02121747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78BB6E55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First Supervisor</w:t>
            </w:r>
          </w:p>
        </w:tc>
        <w:tc>
          <w:tcPr>
            <w:tcW w:w="5807" w:type="dxa"/>
          </w:tcPr>
          <w:p w14:paraId="4984ADF3" w14:textId="266F6141" w:rsidR="00066C81" w:rsidRPr="00066C81" w:rsidRDefault="001C4BFE" w:rsidP="00066C81">
            <w:r>
              <w:rPr>
                <w:rFonts w:ascii="Arial" w:hAnsi="Arial"/>
                <w:sz w:val="20"/>
              </w:rPr>
              <w:t>Dr Abhinav Koyamangalath Vadakkepat</w:t>
            </w:r>
          </w:p>
        </w:tc>
      </w:tr>
      <w:tr w:rsidR="00066C81" w:rsidRPr="00066C81" w14:paraId="6DC0E45D" w14:textId="77777777" w:rsidTr="00ED69E6">
        <w:tc>
          <w:tcPr>
            <w:tcW w:w="3227" w:type="dxa"/>
            <w:shd w:val="clear" w:color="auto" w:fill="F2F2F2" w:themeFill="background1" w:themeFillShade="F2"/>
          </w:tcPr>
          <w:p w14:paraId="0B13A3A9" w14:textId="77777777" w:rsidR="00066C81" w:rsidRPr="00066C81" w:rsidRDefault="00066C81" w:rsidP="00066C81">
            <w:pPr>
              <w:rPr>
                <w:b/>
              </w:rPr>
            </w:pPr>
            <w:r w:rsidRPr="00066C81">
              <w:rPr>
                <w:b/>
              </w:rPr>
              <w:t>School/Department</w:t>
            </w:r>
          </w:p>
        </w:tc>
        <w:tc>
          <w:tcPr>
            <w:tcW w:w="5807" w:type="dxa"/>
          </w:tcPr>
          <w:p w14:paraId="0B7A4BF6" w14:textId="13F73205" w:rsidR="00066C81" w:rsidRPr="00066C81" w:rsidRDefault="001C4BFE" w:rsidP="00066C81">
            <w:r>
              <w:rPr>
                <w:rFonts w:ascii="Arial" w:hAnsi="Arial"/>
                <w:sz w:val="20"/>
              </w:rPr>
              <w:t>Division of Molecular and Cell Biology</w:t>
            </w:r>
          </w:p>
        </w:tc>
      </w:tr>
      <w:tr w:rsidR="003A7DAE" w:rsidRPr="00066C81" w14:paraId="566BAE34" w14:textId="77777777" w:rsidTr="00BA13A1">
        <w:tc>
          <w:tcPr>
            <w:tcW w:w="3227" w:type="dxa"/>
            <w:shd w:val="clear" w:color="auto" w:fill="F2F2F2" w:themeFill="background1" w:themeFillShade="F2"/>
          </w:tcPr>
          <w:p w14:paraId="1C05A3B9" w14:textId="77777777" w:rsidR="003A7DAE" w:rsidRPr="00066C81" w:rsidRDefault="003A7DAE" w:rsidP="00066C81">
            <w:pPr>
              <w:rPr>
                <w:b/>
              </w:rPr>
            </w:pPr>
            <w:r w:rsidRPr="00066C81">
              <w:rPr>
                <w:b/>
              </w:rPr>
              <w:t xml:space="preserve">Email </w:t>
            </w:r>
          </w:p>
        </w:tc>
        <w:tc>
          <w:tcPr>
            <w:tcW w:w="5807" w:type="dxa"/>
          </w:tcPr>
          <w:p w14:paraId="01A04DDE" w14:textId="77777777" w:rsidR="003A7DAE" w:rsidRDefault="001C4BFE" w:rsidP="00066C81">
            <w:hyperlink r:id="rId5">
              <w:r>
                <w:rPr>
                  <w:rFonts w:ascii="Arial" w:hAnsi="Arial"/>
                  <w:color w:val="0563C1"/>
                  <w:sz w:val="20"/>
                  <w:u w:val="single"/>
                </w:rPr>
                <w:t>akv10@leicester.ac.uk</w:t>
              </w:r>
            </w:hyperlink>
          </w:p>
          <w:p w14:paraId="28BF855B" w14:textId="7DD7EC53" w:rsidR="001C4BFE" w:rsidRPr="00066C81" w:rsidRDefault="001C4BFE" w:rsidP="00066C81">
            <w:hyperlink r:id="rId6">
              <w:r>
                <w:rPr>
                  <w:rFonts w:ascii="Arial" w:hAnsi="Arial"/>
                  <w:color w:val="0563C1"/>
                  <w:sz w:val="20"/>
                  <w:u w:val="single"/>
                </w:rPr>
                <w:t>https://le.ac.uk/people/abhinav-koyamangalath-vadakkepat</w:t>
              </w:r>
            </w:hyperlink>
          </w:p>
        </w:tc>
      </w:tr>
    </w:tbl>
    <w:p w14:paraId="7C06D8EE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5A30D420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2DBD0CB6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Second Supervisor</w:t>
            </w:r>
          </w:p>
        </w:tc>
        <w:tc>
          <w:tcPr>
            <w:tcW w:w="5778" w:type="dxa"/>
          </w:tcPr>
          <w:p w14:paraId="489D6B79" w14:textId="5883CD27" w:rsidR="00066C81" w:rsidRDefault="001C4BFE" w:rsidP="00ED69E6">
            <w:r>
              <w:t>Dr Jeremy Keown</w:t>
            </w:r>
          </w:p>
        </w:tc>
      </w:tr>
      <w:tr w:rsidR="00066C81" w14:paraId="04ACFF8B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1E46C14B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School/Department</w:t>
            </w:r>
          </w:p>
        </w:tc>
        <w:tc>
          <w:tcPr>
            <w:tcW w:w="5778" w:type="dxa"/>
          </w:tcPr>
          <w:p w14:paraId="1B7222C7" w14:textId="3668BA75" w:rsidR="00066C81" w:rsidRDefault="001C4BFE" w:rsidP="00ED69E6">
            <w:r w:rsidRPr="001C4BFE">
              <w:t>School of Life Sciences, University of Warwick, UK</w:t>
            </w:r>
          </w:p>
        </w:tc>
      </w:tr>
      <w:tr w:rsidR="003A7DAE" w14:paraId="1A47049C" w14:textId="77777777" w:rsidTr="0029160A">
        <w:tc>
          <w:tcPr>
            <w:tcW w:w="3256" w:type="dxa"/>
            <w:shd w:val="clear" w:color="auto" w:fill="F2F2F2" w:themeFill="background1" w:themeFillShade="F2"/>
          </w:tcPr>
          <w:p w14:paraId="7BD42367" w14:textId="77777777" w:rsidR="003A7DAE" w:rsidRDefault="003A7DAE" w:rsidP="00ED69E6">
            <w:pPr>
              <w:rPr>
                <w:b/>
              </w:rPr>
            </w:pPr>
            <w:r>
              <w:rPr>
                <w:b/>
              </w:rPr>
              <w:t xml:space="preserve">Email </w:t>
            </w:r>
          </w:p>
        </w:tc>
        <w:tc>
          <w:tcPr>
            <w:tcW w:w="5778" w:type="dxa"/>
          </w:tcPr>
          <w:p w14:paraId="4D06D5DB" w14:textId="74AB1388" w:rsidR="003A7DAE" w:rsidRDefault="001C4BFE" w:rsidP="00ED69E6">
            <w:r w:rsidRPr="001C4BFE">
              <w:t>Jeremy.Keown@warwick.ac.uk</w:t>
            </w:r>
          </w:p>
        </w:tc>
      </w:tr>
    </w:tbl>
    <w:p w14:paraId="3188842D" w14:textId="77777777" w:rsidR="00066C81" w:rsidRDefault="00066C81" w:rsidP="00066C81">
      <w:pPr>
        <w:spacing w:after="0" w:line="240" w:lineRule="auto"/>
      </w:pPr>
    </w:p>
    <w:tbl>
      <w:tblPr>
        <w:tblStyle w:val="TableGrid"/>
        <w:tblW w:w="9034" w:type="dxa"/>
        <w:tblLayout w:type="fixed"/>
        <w:tblLook w:val="04A0" w:firstRow="1" w:lastRow="0" w:firstColumn="1" w:lastColumn="0" w:noHBand="0" w:noVBand="1"/>
      </w:tblPr>
      <w:tblGrid>
        <w:gridCol w:w="3256"/>
        <w:gridCol w:w="5778"/>
      </w:tblGrid>
      <w:tr w:rsidR="00066C81" w14:paraId="48BAF998" w14:textId="77777777" w:rsidTr="00066C81">
        <w:tc>
          <w:tcPr>
            <w:tcW w:w="3256" w:type="dxa"/>
            <w:shd w:val="clear" w:color="auto" w:fill="F2F2F2" w:themeFill="background1" w:themeFillShade="F2"/>
          </w:tcPr>
          <w:p w14:paraId="5D439254" w14:textId="77777777" w:rsidR="00066C81" w:rsidRPr="00B11D52" w:rsidRDefault="00066C81" w:rsidP="00ED69E6">
            <w:pPr>
              <w:rPr>
                <w:b/>
              </w:rPr>
            </w:pPr>
            <w:r>
              <w:rPr>
                <w:b/>
              </w:rPr>
              <w:t>Additional Supervisor</w:t>
            </w:r>
          </w:p>
        </w:tc>
        <w:tc>
          <w:tcPr>
            <w:tcW w:w="5778" w:type="dxa"/>
          </w:tcPr>
          <w:p w14:paraId="04519482" w14:textId="77777777" w:rsidR="00066C81" w:rsidRDefault="00066C81" w:rsidP="00ED69E6"/>
        </w:tc>
      </w:tr>
    </w:tbl>
    <w:p w14:paraId="4806292A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2F660E25" w14:textId="77777777" w:rsidR="00066C81" w:rsidRPr="006B05B2" w:rsidRDefault="00066C81" w:rsidP="00066C81">
      <w:pPr>
        <w:spacing w:after="0" w:line="240" w:lineRule="auto"/>
        <w:rPr>
          <w:b/>
          <w:i/>
        </w:rPr>
      </w:pPr>
      <w:r w:rsidRPr="006B05B2">
        <w:rPr>
          <w:b/>
        </w:rPr>
        <w:t xml:space="preserve">Section 2 – </w:t>
      </w:r>
      <w:r w:rsidRPr="006B05B2">
        <w:rPr>
          <w:b/>
          <w:i/>
        </w:rPr>
        <w:t>Project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066C81" w14:paraId="6E42E9E7" w14:textId="77777777" w:rsidTr="00ED69E6">
        <w:tc>
          <w:tcPr>
            <w:tcW w:w="1980" w:type="dxa"/>
            <w:shd w:val="clear" w:color="auto" w:fill="F2F2F2" w:themeFill="background1" w:themeFillShade="F2"/>
          </w:tcPr>
          <w:p w14:paraId="79396BC4" w14:textId="77777777" w:rsidR="00066C81" w:rsidRDefault="00066C81" w:rsidP="00ED69E6">
            <w:pPr>
              <w:rPr>
                <w:b/>
              </w:rPr>
            </w:pPr>
            <w:r>
              <w:rPr>
                <w:b/>
              </w:rPr>
              <w:t>Project Title</w:t>
            </w:r>
          </w:p>
          <w:p w14:paraId="2AE8459A" w14:textId="77777777" w:rsidR="00066C81" w:rsidRPr="00B11D52" w:rsidRDefault="00066C81" w:rsidP="00ED69E6">
            <w:pPr>
              <w:rPr>
                <w:b/>
              </w:rPr>
            </w:pPr>
          </w:p>
        </w:tc>
        <w:tc>
          <w:tcPr>
            <w:tcW w:w="7036" w:type="dxa"/>
          </w:tcPr>
          <w:p w14:paraId="77A3C7CD" w14:textId="77777777" w:rsidR="001C4BFE" w:rsidRDefault="001C4BFE" w:rsidP="001C4BFE">
            <w:r>
              <w:t>Structural and functional characterisation of the molecular architecture and</w:t>
            </w:r>
          </w:p>
          <w:p w14:paraId="2BC2E11D" w14:textId="6134EAB9" w:rsidR="00066C81" w:rsidRDefault="001C4BFE" w:rsidP="001C4BFE">
            <w:r>
              <w:t xml:space="preserve">entry mechanisms of </w:t>
            </w:r>
            <w:proofErr w:type="gramStart"/>
            <w:r>
              <w:t>Yellow</w:t>
            </w:r>
            <w:proofErr w:type="gramEnd"/>
            <w:r>
              <w:t xml:space="preserve"> head virus using cryo-EM</w:t>
            </w:r>
          </w:p>
        </w:tc>
      </w:tr>
      <w:tr w:rsidR="00066C81" w14:paraId="4C9CB2BA" w14:textId="77777777" w:rsidTr="00ED69E6">
        <w:tc>
          <w:tcPr>
            <w:tcW w:w="9016" w:type="dxa"/>
            <w:gridSpan w:val="2"/>
            <w:shd w:val="clear" w:color="auto" w:fill="F2F2F2" w:themeFill="background1" w:themeFillShade="F2"/>
          </w:tcPr>
          <w:p w14:paraId="3D17942F" w14:textId="77777777" w:rsidR="00066C81" w:rsidRDefault="00066C81" w:rsidP="00066C81">
            <w:r w:rsidRPr="003A7DAE">
              <w:rPr>
                <w:b/>
                <w:highlight w:val="lightGray"/>
              </w:rPr>
              <w:t>Project Summary</w:t>
            </w:r>
            <w:r>
              <w:rPr>
                <w:b/>
              </w:rPr>
              <w:t xml:space="preserve"> </w:t>
            </w:r>
          </w:p>
        </w:tc>
      </w:tr>
      <w:tr w:rsidR="00066C81" w14:paraId="51FA071A" w14:textId="77777777" w:rsidTr="00ED69E6">
        <w:tc>
          <w:tcPr>
            <w:tcW w:w="9016" w:type="dxa"/>
            <w:gridSpan w:val="2"/>
          </w:tcPr>
          <w:p w14:paraId="5A3B80ED" w14:textId="20CA65EE" w:rsid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Yellow head virus (YHV) is one of the most destructive pathogens of penaeid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shrimp and a major threat to global aquaculture1,2. Acute yellow head disease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progresses rapidly, with severe outbreaks causing near-total crop losses within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days and major economic damage3,4. Despite more than three decades of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research, no effective antiviral treatment exists4 and the molecular architecture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of the infectious YHV particle remains unknown.</w:t>
            </w:r>
          </w:p>
          <w:p w14:paraId="314150E5" w14:textId="77777777" w:rsidR="001C4BFE" w:rsidRPr="001C4BFE" w:rsidRDefault="001C4BFE" w:rsidP="001C4BFE">
            <w:pPr>
              <w:rPr>
                <w:bCs/>
              </w:rPr>
            </w:pPr>
          </w:p>
          <w:p w14:paraId="2B68C783" w14:textId="5806DD04" w:rsid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 xml:space="preserve">YHV belongs to the </w:t>
            </w:r>
            <w:proofErr w:type="spellStart"/>
            <w:r w:rsidRPr="001C4BFE">
              <w:rPr>
                <w:bCs/>
              </w:rPr>
              <w:t>Roniviridae</w:t>
            </w:r>
            <w:proofErr w:type="spellEnd"/>
            <w:r w:rsidRPr="001C4BFE">
              <w:rPr>
                <w:bCs/>
              </w:rPr>
              <w:t xml:space="preserve"> within the </w:t>
            </w:r>
            <w:proofErr w:type="spellStart"/>
            <w:r w:rsidRPr="001C4BFE">
              <w:rPr>
                <w:bCs/>
              </w:rPr>
              <w:t>Nidovirales</w:t>
            </w:r>
            <w:proofErr w:type="spellEnd"/>
            <w:r w:rsidRPr="001C4BFE">
              <w:rPr>
                <w:bCs/>
              </w:rPr>
              <w:t>, which also includes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coronaviruses, but has evolved a markedly different architecture5. Its elongated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enveloped virion contains surface glycoproteins gp116 and gp64 and a highly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ordered helical ribonucleoprotein in which the ~26-kb positive-sense RNA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genome is packaged by the small nucleoprotein p205,6,9. Conventional EM and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biochemical studies have defined overall morphology and major components5,8,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but how these components assemble, package the genome and mediate host-cell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entry remains unresolved.</w:t>
            </w:r>
          </w:p>
          <w:p w14:paraId="02D535AD" w14:textId="77777777" w:rsidR="001C4BFE" w:rsidRPr="001C4BFE" w:rsidRDefault="001C4BFE" w:rsidP="001C4BFE">
            <w:pPr>
              <w:rPr>
                <w:bCs/>
              </w:rPr>
            </w:pPr>
          </w:p>
          <w:p w14:paraId="4D4A4073" w14:textId="2A2A162A" w:rsid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The project will define YHV molecular architecture and determine how its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structural components coordinate genome packaging, host recognition and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membrane entry. It combines aquatic-animal virology at CEFAS (CASE partner)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with virus purification, protein/RNA biochemistry, negative-stain EM, molecular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biology, cryo-EM, cryo-electron tomography (cryo-ET), helical reconstruction and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structure-guided functional analysis at Leicester.</w:t>
            </w:r>
          </w:p>
          <w:p w14:paraId="5AF27F9F" w14:textId="77777777" w:rsidR="001C4BFE" w:rsidRPr="001C4BFE" w:rsidRDefault="001C4BFE" w:rsidP="001C4BFE">
            <w:pPr>
              <w:rPr>
                <w:bCs/>
              </w:rPr>
            </w:pPr>
          </w:p>
          <w:p w14:paraId="3497516C" w14:textId="77777777" w:rsidR="001C4BFE" w:rsidRP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Aim 1: Define the architecture of the native YHV virion.</w:t>
            </w:r>
          </w:p>
          <w:p w14:paraId="0F5821AD" w14:textId="2FBA121B" w:rsid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 xml:space="preserve">YHV will be propagated in susceptible shrimp within CEFAS </w:t>
            </w:r>
            <w:proofErr w:type="spellStart"/>
            <w:r w:rsidRPr="001C4BFE">
              <w:rPr>
                <w:bCs/>
              </w:rPr>
              <w:t>biosecure</w:t>
            </w:r>
            <w:proofErr w:type="spellEnd"/>
            <w:r w:rsidRPr="001C4BFE">
              <w:rPr>
                <w:bCs/>
              </w:rPr>
              <w:t xml:space="preserve"> facilities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and purified from shrimp haemolymph at Leicester to establish a cryo-EM-grade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purification pipeline. Virions will be assessed by viral RNA quantification,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protein analysis and negative-stain EM. Cryo-ET will define envelope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organisation, nucleocapsid–membrane relationships and spike distribution,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 xml:space="preserve">while </w:t>
            </w:r>
            <w:proofErr w:type="spellStart"/>
            <w:r w:rsidRPr="001C4BFE">
              <w:rPr>
                <w:bCs/>
              </w:rPr>
              <w:t>subtomogram</w:t>
            </w:r>
            <w:proofErr w:type="spellEnd"/>
            <w:r w:rsidRPr="001C4BFE">
              <w:rPr>
                <w:bCs/>
              </w:rPr>
              <w:t xml:space="preserve"> averaging/classification will determine gp116/gp64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organisation.</w:t>
            </w:r>
          </w:p>
          <w:p w14:paraId="33E63BD0" w14:textId="77777777" w:rsidR="001C4BFE" w:rsidRPr="001C4BFE" w:rsidRDefault="001C4BFE" w:rsidP="001C4BFE">
            <w:pPr>
              <w:rPr>
                <w:bCs/>
              </w:rPr>
            </w:pPr>
          </w:p>
          <w:p w14:paraId="4310A81D" w14:textId="77777777" w:rsidR="001C4BFE" w:rsidRP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Aim 2: Determine how p20 packages the YHV genome.</w:t>
            </w:r>
          </w:p>
          <w:p w14:paraId="507C9B43" w14:textId="7CB7BF27" w:rsid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Native nucleocapsids will be analysed by cryo-EM helical reconstruction to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define the p20 fold, RNA trajectory, p20–RNA contacts, p20–p20 interfaces and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helical organisation. Recombinant p20 and structure-guided variants will then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be tested using RNA-binding and in vitro assembly assays to identify interactions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required for ordered ribonucleoprotein formation.</w:t>
            </w:r>
          </w:p>
          <w:p w14:paraId="529639E5" w14:textId="77777777" w:rsidR="001C4BFE" w:rsidRPr="001C4BFE" w:rsidRDefault="001C4BFE" w:rsidP="001C4BFE">
            <w:pPr>
              <w:rPr>
                <w:bCs/>
              </w:rPr>
            </w:pPr>
          </w:p>
          <w:p w14:paraId="575D3BCB" w14:textId="77777777" w:rsidR="001C4BFE" w:rsidRP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Aim 3: Determine how YHV recognises shrimp cells and activates membrane</w:t>
            </w:r>
          </w:p>
          <w:p w14:paraId="2ECBCE83" w14:textId="77777777" w:rsidR="001C4BFE" w:rsidRP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entry.</w:t>
            </w:r>
          </w:p>
          <w:p w14:paraId="64DE4571" w14:textId="4424AD5B" w:rsidR="001C4BFE" w:rsidRP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lastRenderedPageBreak/>
              <w:t>Native, receptor-engaged and low-pH-activated virions will be compared to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identify entry-associated structural transitions. Candidate receptors, including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PmYRP657 or receptor-containing native membranes, will be tested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 xml:space="preserve">biochemically, followed by cryo-ET and </w:t>
            </w:r>
            <w:proofErr w:type="spellStart"/>
            <w:r w:rsidRPr="001C4BFE">
              <w:rPr>
                <w:bCs/>
              </w:rPr>
              <w:t>subtomogram</w:t>
            </w:r>
            <w:proofErr w:type="spellEnd"/>
            <w:r w:rsidRPr="001C4BFE">
              <w:rPr>
                <w:bCs/>
              </w:rPr>
              <w:t xml:space="preserve"> classification. Focused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single-particle cryo-EM will be used where homogeneous complexes permit</w:t>
            </w:r>
          </w:p>
          <w:p w14:paraId="3E1AF3D1" w14:textId="77777777" w:rsid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>higher-resolution analysis.</w:t>
            </w:r>
          </w:p>
          <w:p w14:paraId="077C4418" w14:textId="77777777" w:rsidR="001C4BFE" w:rsidRPr="001C4BFE" w:rsidRDefault="001C4BFE" w:rsidP="001C4BFE">
            <w:pPr>
              <w:rPr>
                <w:bCs/>
              </w:rPr>
            </w:pPr>
          </w:p>
          <w:p w14:paraId="328179BD" w14:textId="5676DA78" w:rsidR="00066C81" w:rsidRPr="00211A99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 xml:space="preserve">Together, these studies will provide the first molecular framework for </w:t>
            </w:r>
            <w:proofErr w:type="spellStart"/>
            <w:r w:rsidRPr="001C4BFE">
              <w:rPr>
                <w:bCs/>
              </w:rPr>
              <w:t>ronivirus</w:t>
            </w:r>
            <w:proofErr w:type="spellEnd"/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assembly, genome packaging and host-cell entry, establishing a mechanistic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basis for future diagnostics, surveillance and interventions against a major</w:t>
            </w:r>
            <w:r>
              <w:rPr>
                <w:bCs/>
              </w:rPr>
              <w:t xml:space="preserve"> </w:t>
            </w:r>
            <w:r w:rsidRPr="001C4BFE">
              <w:rPr>
                <w:bCs/>
              </w:rPr>
              <w:t>threat to sustainable shrimp aquaculture</w:t>
            </w:r>
          </w:p>
          <w:p w14:paraId="52EFBB87" w14:textId="37467C26" w:rsidR="00066C81" w:rsidRDefault="00066C81" w:rsidP="00ED69E6">
            <w:pPr>
              <w:rPr>
                <w:b/>
              </w:rPr>
            </w:pPr>
          </w:p>
        </w:tc>
      </w:tr>
      <w:tr w:rsidR="003A7DAE" w14:paraId="703CFC4C" w14:textId="77777777" w:rsidTr="001C1AF7">
        <w:tc>
          <w:tcPr>
            <w:tcW w:w="9016" w:type="dxa"/>
            <w:gridSpan w:val="2"/>
            <w:shd w:val="clear" w:color="auto" w:fill="F2F2F2" w:themeFill="background1" w:themeFillShade="F2"/>
          </w:tcPr>
          <w:p w14:paraId="40B4B97E" w14:textId="39FA6C4F" w:rsidR="003A7DAE" w:rsidRDefault="003A7DAE" w:rsidP="001C1AF7">
            <w:r>
              <w:rPr>
                <w:b/>
              </w:rPr>
              <w:lastRenderedPageBreak/>
              <w:t>References</w:t>
            </w:r>
          </w:p>
        </w:tc>
      </w:tr>
      <w:tr w:rsidR="003A7DAE" w14:paraId="6D3114C6" w14:textId="77777777" w:rsidTr="00ED69E6">
        <w:tc>
          <w:tcPr>
            <w:tcW w:w="9016" w:type="dxa"/>
            <w:gridSpan w:val="2"/>
          </w:tcPr>
          <w:p w14:paraId="4633E56A" w14:textId="77777777" w:rsidR="001C4BFE" w:rsidRPr="001C4BFE" w:rsidRDefault="001C4BFE" w:rsidP="001C4BFE">
            <w:pPr>
              <w:rPr>
                <w:bCs/>
              </w:rPr>
            </w:pPr>
            <w:r w:rsidRPr="001C4BFE">
              <w:rPr>
                <w:bCs/>
              </w:rPr>
              <w:t xml:space="preserve">References: 1. Lotz, 1997. 2. Walker &amp; Mohan, 2009. 3. </w:t>
            </w:r>
            <w:proofErr w:type="spellStart"/>
            <w:r w:rsidRPr="001C4BFE">
              <w:rPr>
                <w:bCs/>
              </w:rPr>
              <w:t>Senapin</w:t>
            </w:r>
            <w:proofErr w:type="spellEnd"/>
            <w:r w:rsidRPr="001C4BFE">
              <w:rPr>
                <w:bCs/>
              </w:rPr>
              <w:t xml:space="preserve"> et al., 2010. 4.</w:t>
            </w:r>
          </w:p>
          <w:p w14:paraId="17804839" w14:textId="4FF4F909" w:rsidR="003A7DAE" w:rsidRPr="001C4BFE" w:rsidRDefault="001C4BFE" w:rsidP="001C4BFE">
            <w:pPr>
              <w:rPr>
                <w:bCs/>
              </w:rPr>
            </w:pPr>
            <w:proofErr w:type="spellStart"/>
            <w:r w:rsidRPr="001C4BFE">
              <w:rPr>
                <w:bCs/>
              </w:rPr>
              <w:t>Posiri</w:t>
            </w:r>
            <w:proofErr w:type="spellEnd"/>
            <w:r w:rsidRPr="001C4BFE">
              <w:rPr>
                <w:bCs/>
              </w:rPr>
              <w:t xml:space="preserve"> et al., 2015. 5. Walker et al., 2021. 6. </w:t>
            </w:r>
            <w:proofErr w:type="spellStart"/>
            <w:r w:rsidRPr="001C4BFE">
              <w:rPr>
                <w:bCs/>
              </w:rPr>
              <w:t>Sittidilokratna</w:t>
            </w:r>
            <w:proofErr w:type="spellEnd"/>
            <w:r w:rsidRPr="001C4BFE">
              <w:rPr>
                <w:bCs/>
              </w:rPr>
              <w:t xml:space="preserve"> et al., 2008.</w:t>
            </w:r>
          </w:p>
          <w:p w14:paraId="4CC99A4B" w14:textId="55A384DD" w:rsidR="003A7DAE" w:rsidRDefault="003A7DAE" w:rsidP="00ED69E6">
            <w:pPr>
              <w:rPr>
                <w:b/>
              </w:rPr>
            </w:pPr>
          </w:p>
        </w:tc>
      </w:tr>
    </w:tbl>
    <w:p w14:paraId="7FEF6135" w14:textId="77777777" w:rsidR="00066C81" w:rsidRDefault="00066C81" w:rsidP="00066C81">
      <w:pPr>
        <w:spacing w:after="0" w:line="240" w:lineRule="auto"/>
        <w:rPr>
          <w:b/>
          <w:u w:val="single"/>
        </w:rPr>
      </w:pPr>
    </w:p>
    <w:p w14:paraId="1D713C9F" w14:textId="77777777" w:rsidR="00066C81" w:rsidRPr="00BD5F21" w:rsidRDefault="00066C81" w:rsidP="00066C81">
      <w:pPr>
        <w:spacing w:after="0" w:line="240" w:lineRule="auto"/>
        <w:rPr>
          <w:b/>
          <w:bCs/>
        </w:rPr>
      </w:pPr>
    </w:p>
    <w:sectPr w:rsidR="00066C81" w:rsidRPr="00BD5F21" w:rsidSect="00477FE3">
      <w:pgSz w:w="11906" w:h="16838"/>
      <w:pgMar w:top="1276" w:right="1135" w:bottom="709" w:left="1133" w:header="720" w:footer="88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D10D40"/>
    <w:multiLevelType w:val="hybridMultilevel"/>
    <w:tmpl w:val="0F0A7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6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C81"/>
    <w:rsid w:val="00066C81"/>
    <w:rsid w:val="000C4CA6"/>
    <w:rsid w:val="000D3D42"/>
    <w:rsid w:val="001C4BFE"/>
    <w:rsid w:val="00203CDE"/>
    <w:rsid w:val="00211A99"/>
    <w:rsid w:val="0029091D"/>
    <w:rsid w:val="003A7DAE"/>
    <w:rsid w:val="003C604C"/>
    <w:rsid w:val="006C600C"/>
    <w:rsid w:val="006F46FB"/>
    <w:rsid w:val="00737E3F"/>
    <w:rsid w:val="009C47A8"/>
    <w:rsid w:val="00AE49DF"/>
    <w:rsid w:val="00BB70D0"/>
    <w:rsid w:val="00BD5F21"/>
    <w:rsid w:val="00BF1E49"/>
    <w:rsid w:val="00DE6413"/>
    <w:rsid w:val="00F038B2"/>
    <w:rsid w:val="00F2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C236"/>
  <w15:chartTrackingRefBased/>
  <w15:docId w15:val="{87EC11FF-9B23-4746-AD2B-2639FE3C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C81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6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49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49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4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.ac.uk/people/abhinav-koyamangalath-vadakkepat" TargetMode="External"/><Relationship Id="rId5" Type="http://schemas.openxmlformats.org/officeDocument/2006/relationships/hyperlink" Target="mailto:akv10@leicester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518</Words>
  <Characters>3509</Characters>
  <Application>Microsoft Office Word</Application>
  <DocSecurity>0</DocSecurity>
  <Lines>92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White</dc:creator>
  <cp:keywords/>
  <dc:description/>
  <cp:lastModifiedBy>Finch, Lisa A.</cp:lastModifiedBy>
  <cp:revision>3</cp:revision>
  <dcterms:created xsi:type="dcterms:W3CDTF">2026-10-12T10:53:00Z</dcterms:created>
  <dcterms:modified xsi:type="dcterms:W3CDTF">2026-10-12T11:00:00Z</dcterms:modified>
</cp:coreProperties>
</file>