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2FFC5213" w:rsidR="00F038B2"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MIBTP studentship project 2026</w:t>
      </w:r>
    </w:p>
    <w:p w14:paraId="1F075E5A" w14:textId="77777777" w:rsidR="00066C81" w:rsidRDefault="00066C81"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4640D9D6" w:rsidR="00066C81" w:rsidRPr="00066C81" w:rsidRDefault="002D4BF8" w:rsidP="00066C81">
            <w:r>
              <w:rPr>
                <w:rFonts w:ascii="DroidSerif" w:eastAsiaTheme="minorHAnsi" w:hAnsi="DroidSerif" w:cs="DroidSerif"/>
                <w:color w:val="auto"/>
                <w:sz w:val="25"/>
                <w:szCs w:val="25"/>
                <w:lang w:eastAsia="en-US"/>
              </w:rPr>
              <w:t>Dr Robert Mahen</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47A49658" w:rsidR="00066C81" w:rsidRPr="00066C81" w:rsidRDefault="002D4BF8" w:rsidP="002D4BF8">
            <w:pPr>
              <w:autoSpaceDE w:val="0"/>
              <w:autoSpaceDN w:val="0"/>
              <w:adjustRightInd w:val="0"/>
            </w:pPr>
            <w:r>
              <w:rPr>
                <w:rFonts w:ascii="DroidSerif" w:eastAsiaTheme="minorHAnsi" w:hAnsi="DroidSerif" w:cs="DroidSerif"/>
                <w:color w:val="auto"/>
                <w:sz w:val="25"/>
                <w:szCs w:val="25"/>
                <w:lang w:eastAsia="en-US"/>
              </w:rPr>
              <w:t>School of Biological &amp; Biomedical Sciences / Division of Molecular and Cell Biology</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4DDB631A" w14:textId="77777777" w:rsidR="007151A1" w:rsidRDefault="00C5586E" w:rsidP="00066C81">
            <w:pPr>
              <w:rPr>
                <w:rFonts w:ascii="DroidSerif" w:eastAsiaTheme="minorHAnsi" w:hAnsi="DroidSerif" w:cs="DroidSerif"/>
                <w:color w:val="auto"/>
                <w:sz w:val="25"/>
                <w:szCs w:val="25"/>
                <w:lang w:eastAsia="en-US"/>
              </w:rPr>
            </w:pPr>
            <w:hyperlink r:id="rId5" w:history="1">
              <w:r w:rsidR="002D4BF8" w:rsidRPr="00867BB4">
                <w:rPr>
                  <w:rStyle w:val="Hyperlink"/>
                  <w:rFonts w:ascii="DroidSerif" w:eastAsiaTheme="minorHAnsi" w:hAnsi="DroidSerif" w:cs="DroidSerif"/>
                  <w:sz w:val="25"/>
                  <w:szCs w:val="25"/>
                  <w:lang w:eastAsia="en-US"/>
                </w:rPr>
                <w:t>rm722@leicester.ac.uk</w:t>
              </w:r>
            </w:hyperlink>
            <w:r w:rsidR="002D4BF8">
              <w:rPr>
                <w:rFonts w:ascii="DroidSerif" w:eastAsiaTheme="minorHAnsi" w:hAnsi="DroidSerif" w:cs="DroidSerif"/>
                <w:color w:val="auto"/>
                <w:sz w:val="25"/>
                <w:szCs w:val="25"/>
                <w:lang w:eastAsia="en-US"/>
              </w:rPr>
              <w:t xml:space="preserve"> </w:t>
            </w:r>
          </w:p>
          <w:p w14:paraId="28BF855B" w14:textId="06492DC5" w:rsidR="002D4BF8" w:rsidRPr="00066C81" w:rsidRDefault="00C5586E" w:rsidP="00066C81">
            <w:hyperlink r:id="rId6" w:history="1">
              <w:r w:rsidR="002D4BF8" w:rsidRPr="00867BB4">
                <w:rPr>
                  <w:rStyle w:val="Hyperlink"/>
                  <w:rFonts w:ascii="DroidSerif" w:eastAsiaTheme="minorHAnsi" w:hAnsi="DroidSerif" w:cs="DroidSerif"/>
                  <w:sz w:val="25"/>
                  <w:szCs w:val="25"/>
                  <w:lang w:eastAsia="en-US"/>
                </w:rPr>
                <w:t>https://le.ac.uk/people/robert-mahen</w:t>
              </w:r>
            </w:hyperlink>
            <w:r w:rsidR="002D4BF8">
              <w:rPr>
                <w:rFonts w:ascii="DroidSerif" w:eastAsiaTheme="minorHAnsi" w:hAnsi="DroidSerif" w:cs="DroidSerif"/>
                <w:color w:val="auto"/>
                <w:sz w:val="25"/>
                <w:szCs w:val="25"/>
                <w:lang w:eastAsia="en-US"/>
              </w:rP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77777777" w:rsidR="00066C81" w:rsidRPr="00B11D52" w:rsidRDefault="00066C81" w:rsidP="00ED69E6">
            <w:pPr>
              <w:rPr>
                <w:b/>
              </w:rPr>
            </w:pPr>
            <w:r>
              <w:rPr>
                <w:b/>
              </w:rPr>
              <w:t>Second Supervisor</w:t>
            </w:r>
          </w:p>
        </w:tc>
        <w:tc>
          <w:tcPr>
            <w:tcW w:w="5778" w:type="dxa"/>
          </w:tcPr>
          <w:p w14:paraId="489D6B79" w14:textId="7F81A244" w:rsidR="00066C81" w:rsidRDefault="002D4BF8" w:rsidP="00ED69E6">
            <w:r>
              <w:rPr>
                <w:rFonts w:ascii="DroidSerif" w:eastAsiaTheme="minorHAnsi" w:hAnsi="DroidSerif" w:cs="DroidSerif"/>
                <w:color w:val="auto"/>
                <w:sz w:val="25"/>
                <w:szCs w:val="25"/>
                <w:lang w:eastAsia="en-US"/>
              </w:rPr>
              <w:t xml:space="preserve">Dr </w:t>
            </w:r>
            <w:proofErr w:type="spellStart"/>
            <w:r>
              <w:rPr>
                <w:rFonts w:ascii="DroidSerif" w:eastAsiaTheme="minorHAnsi" w:hAnsi="DroidSerif" w:cs="DroidSerif"/>
                <w:color w:val="auto"/>
                <w:sz w:val="25"/>
                <w:szCs w:val="25"/>
                <w:lang w:eastAsia="en-US"/>
              </w:rPr>
              <w:t>Gianmarco</w:t>
            </w:r>
            <w:proofErr w:type="spellEnd"/>
            <w:r>
              <w:rPr>
                <w:rFonts w:ascii="DroidSerif" w:eastAsiaTheme="minorHAnsi" w:hAnsi="DroidSerif" w:cs="DroidSerif"/>
                <w:color w:val="auto"/>
                <w:sz w:val="25"/>
                <w:szCs w:val="25"/>
                <w:lang w:eastAsia="en-US"/>
              </w:rPr>
              <w:t xml:space="preserve"> </w:t>
            </w:r>
            <w:proofErr w:type="spellStart"/>
            <w:r>
              <w:rPr>
                <w:rFonts w:ascii="DroidSerif" w:eastAsiaTheme="minorHAnsi" w:hAnsi="DroidSerif" w:cs="DroidSerif"/>
                <w:color w:val="auto"/>
                <w:sz w:val="25"/>
                <w:szCs w:val="25"/>
                <w:lang w:eastAsia="en-US"/>
              </w:rPr>
              <w:t>Contino</w:t>
            </w:r>
            <w:proofErr w:type="spellEnd"/>
          </w:p>
        </w:tc>
      </w:tr>
      <w:tr w:rsidR="00066C81" w14:paraId="04ACFF8B" w14:textId="77777777" w:rsidTr="00066C81">
        <w:tc>
          <w:tcPr>
            <w:tcW w:w="3256" w:type="dxa"/>
            <w:shd w:val="clear" w:color="auto" w:fill="F2F2F2" w:themeFill="background1" w:themeFillShade="F2"/>
          </w:tcPr>
          <w:p w14:paraId="1E46C14B" w14:textId="77777777" w:rsidR="00066C81" w:rsidRDefault="00066C81" w:rsidP="00ED69E6">
            <w:pPr>
              <w:rPr>
                <w:b/>
              </w:rPr>
            </w:pPr>
            <w:r>
              <w:rPr>
                <w:b/>
              </w:rPr>
              <w:t>School/Department</w:t>
            </w:r>
          </w:p>
        </w:tc>
        <w:tc>
          <w:tcPr>
            <w:tcW w:w="5778" w:type="dxa"/>
          </w:tcPr>
          <w:p w14:paraId="1B7222C7" w14:textId="4E08C1A4" w:rsidR="00066C81" w:rsidRDefault="002D4BF8" w:rsidP="00ED69E6">
            <w:r>
              <w:rPr>
                <w:rFonts w:ascii="DroidSerif" w:eastAsiaTheme="minorHAnsi" w:hAnsi="DroidSerif" w:cs="DroidSerif"/>
                <w:color w:val="auto"/>
                <w:sz w:val="25"/>
                <w:szCs w:val="25"/>
                <w:lang w:eastAsia="en-US"/>
              </w:rPr>
              <w:t>Institute of Cancer and Genomic Sciences, University of Birmingham</w:t>
            </w:r>
          </w:p>
        </w:tc>
      </w:tr>
      <w:tr w:rsidR="003A7DAE" w14:paraId="1A47049C" w14:textId="77777777" w:rsidTr="0029160A">
        <w:tc>
          <w:tcPr>
            <w:tcW w:w="3256" w:type="dxa"/>
            <w:shd w:val="clear" w:color="auto" w:fill="F2F2F2" w:themeFill="background1" w:themeFillShade="F2"/>
          </w:tcPr>
          <w:p w14:paraId="7BD42367" w14:textId="77777777" w:rsidR="003A7DAE" w:rsidRDefault="003A7DAE" w:rsidP="00ED69E6">
            <w:pPr>
              <w:rPr>
                <w:b/>
              </w:rPr>
            </w:pPr>
            <w:r>
              <w:rPr>
                <w:b/>
              </w:rPr>
              <w:t xml:space="preserve">Email </w:t>
            </w:r>
          </w:p>
        </w:tc>
        <w:tc>
          <w:tcPr>
            <w:tcW w:w="5778" w:type="dxa"/>
          </w:tcPr>
          <w:p w14:paraId="4D06D5DB" w14:textId="03BC01E4" w:rsidR="003A7DAE" w:rsidRDefault="00C5586E" w:rsidP="00ED69E6">
            <w:hyperlink r:id="rId7" w:history="1">
              <w:r w:rsidR="002D4BF8" w:rsidRPr="00867BB4">
                <w:rPr>
                  <w:rStyle w:val="Hyperlink"/>
                  <w:rFonts w:ascii="DroidSerif" w:eastAsiaTheme="minorHAnsi" w:hAnsi="DroidSerif" w:cs="DroidSerif"/>
                  <w:sz w:val="25"/>
                  <w:szCs w:val="25"/>
                  <w:lang w:eastAsia="en-US"/>
                </w:rPr>
                <w:t>g.contino@bham.ac.uk</w:t>
              </w:r>
            </w:hyperlink>
            <w:r w:rsidR="002D4BF8">
              <w:rPr>
                <w:rFonts w:ascii="DroidSerif" w:eastAsiaTheme="minorHAnsi" w:hAnsi="DroidSerif" w:cs="DroidSerif"/>
                <w:color w:val="auto"/>
                <w:sz w:val="25"/>
                <w:szCs w:val="25"/>
                <w:lang w:eastAsia="en-US"/>
              </w:rPr>
              <w:t xml:space="preserve"> </w:t>
            </w:r>
          </w:p>
        </w:tc>
      </w:tr>
    </w:tbl>
    <w:p w14:paraId="3188842D"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48BAF998" w14:textId="77777777" w:rsidTr="00066C81">
        <w:tc>
          <w:tcPr>
            <w:tcW w:w="3256" w:type="dxa"/>
            <w:shd w:val="clear" w:color="auto" w:fill="F2F2F2" w:themeFill="background1" w:themeFillShade="F2"/>
          </w:tcPr>
          <w:p w14:paraId="5D439254" w14:textId="77777777" w:rsidR="00066C81" w:rsidRPr="00B11D52" w:rsidRDefault="00066C81" w:rsidP="00ED69E6">
            <w:pPr>
              <w:rPr>
                <w:b/>
              </w:rPr>
            </w:pPr>
            <w:r>
              <w:rPr>
                <w:b/>
              </w:rPr>
              <w:t>Additional Supervisor</w:t>
            </w:r>
          </w:p>
        </w:tc>
        <w:tc>
          <w:tcPr>
            <w:tcW w:w="5778" w:type="dxa"/>
          </w:tcPr>
          <w:p w14:paraId="04519482" w14:textId="77777777" w:rsidR="00066C81" w:rsidRDefault="00066C81" w:rsidP="00ED69E6"/>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306B6D50" w:rsidR="00066C81" w:rsidRDefault="00C5586E" w:rsidP="002D4BF8">
            <w:pPr>
              <w:autoSpaceDE w:val="0"/>
              <w:autoSpaceDN w:val="0"/>
              <w:adjustRightInd w:val="0"/>
            </w:pPr>
            <w:r w:rsidRPr="00C5586E">
              <w:rPr>
                <w:rFonts w:ascii="DroidSerif" w:eastAsiaTheme="minorHAnsi" w:hAnsi="DroidSerif" w:cs="DroidSerif"/>
                <w:color w:val="auto"/>
                <w:sz w:val="25"/>
                <w:szCs w:val="25"/>
                <w:lang w:eastAsia="en-US"/>
              </w:rPr>
              <w:t>Understanding centrosomes and cilia with advanced imaging</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066C81" w14:paraId="51FA071A" w14:textId="77777777" w:rsidTr="00ED69E6">
        <w:tc>
          <w:tcPr>
            <w:tcW w:w="9016" w:type="dxa"/>
            <w:gridSpan w:val="2"/>
          </w:tcPr>
          <w:p w14:paraId="739E26FB" w14:textId="606AD28F" w:rsidR="00656DE6" w:rsidRDefault="00656DE6" w:rsidP="00656DE6">
            <w:pPr>
              <w:rPr>
                <w:sz w:val="24"/>
                <w:szCs w:val="24"/>
              </w:rPr>
            </w:pPr>
            <w:r w:rsidRPr="00CE504B">
              <w:rPr>
                <w:rFonts w:cstheme="minorHAnsi"/>
                <w:sz w:val="24"/>
                <w:szCs w:val="24"/>
              </w:rPr>
              <w:t>For</w:t>
            </w:r>
            <w:r w:rsidRPr="002533EB">
              <w:rPr>
                <w:sz w:val="24"/>
                <w:szCs w:val="24"/>
              </w:rPr>
              <w:t xml:space="preserve"> the body to grow and maintain itself, it must constantly produce new cells. During each round of cell division, DNA is equally separated into two daughter cells in a process called mitosis. Mitosis is achieved not through the activity of single proteins acting in isolation, but through the combined activity of large protein groups. How do many proteins assemble into molecular machines that organise mitosis</w:t>
            </w:r>
            <w:r>
              <w:rPr>
                <w:sz w:val="24"/>
                <w:szCs w:val="24"/>
              </w:rPr>
              <w:t xml:space="preserve"> and how is this process so accurate</w:t>
            </w:r>
            <w:r w:rsidRPr="002533EB">
              <w:rPr>
                <w:sz w:val="24"/>
                <w:szCs w:val="24"/>
              </w:rPr>
              <w:t>?</w:t>
            </w:r>
          </w:p>
          <w:p w14:paraId="7D1CAA23" w14:textId="77777777" w:rsidR="00656DE6" w:rsidRDefault="00656DE6" w:rsidP="00656DE6">
            <w:pPr>
              <w:rPr>
                <w:sz w:val="24"/>
                <w:szCs w:val="24"/>
              </w:rPr>
            </w:pPr>
          </w:p>
          <w:p w14:paraId="154A5BE1" w14:textId="4FB7FA06" w:rsidR="00656DE6" w:rsidRDefault="00656DE6" w:rsidP="00656DE6">
            <w:pPr>
              <w:rPr>
                <w:sz w:val="24"/>
                <w:szCs w:val="24"/>
              </w:rPr>
            </w:pPr>
            <w:r w:rsidRPr="002533EB">
              <w:rPr>
                <w:sz w:val="24"/>
                <w:szCs w:val="24"/>
              </w:rPr>
              <w:t xml:space="preserve">One </w:t>
            </w:r>
            <w:r>
              <w:rPr>
                <w:sz w:val="24"/>
                <w:szCs w:val="24"/>
              </w:rPr>
              <w:t xml:space="preserve">protein group that is important for mitosis is the </w:t>
            </w:r>
            <w:r w:rsidRPr="002533EB">
              <w:rPr>
                <w:sz w:val="24"/>
                <w:szCs w:val="24"/>
              </w:rPr>
              <w:t xml:space="preserve">centriole – a cellular machine that </w:t>
            </w:r>
            <w:r>
              <w:rPr>
                <w:sz w:val="24"/>
                <w:szCs w:val="24"/>
              </w:rPr>
              <w:t xml:space="preserve">forms only one of </w:t>
            </w:r>
            <w:r w:rsidRPr="002533EB">
              <w:rPr>
                <w:sz w:val="24"/>
                <w:szCs w:val="24"/>
              </w:rPr>
              <w:t>two different organelles</w:t>
            </w:r>
            <w:r>
              <w:rPr>
                <w:sz w:val="24"/>
                <w:szCs w:val="24"/>
              </w:rPr>
              <w:t>,</w:t>
            </w:r>
            <w:r w:rsidRPr="002533EB">
              <w:rPr>
                <w:sz w:val="24"/>
                <w:szCs w:val="24"/>
              </w:rPr>
              <w:t xml:space="preserve"> </w:t>
            </w:r>
            <w:r>
              <w:rPr>
                <w:sz w:val="24"/>
                <w:szCs w:val="24"/>
              </w:rPr>
              <w:t>called</w:t>
            </w:r>
            <w:r w:rsidRPr="002533EB">
              <w:rPr>
                <w:sz w:val="24"/>
                <w:szCs w:val="24"/>
              </w:rPr>
              <w:t xml:space="preserve"> centrosomes and cilia. Centrosomes act as the </w:t>
            </w:r>
            <w:r>
              <w:rPr>
                <w:sz w:val="24"/>
                <w:szCs w:val="24"/>
              </w:rPr>
              <w:t>main cellular</w:t>
            </w:r>
            <w:r w:rsidRPr="002533EB">
              <w:rPr>
                <w:sz w:val="24"/>
                <w:szCs w:val="24"/>
              </w:rPr>
              <w:t xml:space="preserve"> microtubule-organising centres, orchestrating the mitotic spindle. Primary cilia, by contrast, extend from the cell surface to sense</w:t>
            </w:r>
            <w:r>
              <w:rPr>
                <w:sz w:val="24"/>
                <w:szCs w:val="24"/>
              </w:rPr>
              <w:t xml:space="preserve"> </w:t>
            </w:r>
            <w:r w:rsidRPr="002533EB">
              <w:rPr>
                <w:sz w:val="24"/>
                <w:szCs w:val="24"/>
              </w:rPr>
              <w:t>extracellular signals, influencing proliferation</w:t>
            </w:r>
            <w:r>
              <w:rPr>
                <w:sz w:val="24"/>
                <w:szCs w:val="24"/>
              </w:rPr>
              <w:t xml:space="preserve"> and</w:t>
            </w:r>
            <w:r w:rsidRPr="002533EB">
              <w:rPr>
                <w:sz w:val="24"/>
                <w:szCs w:val="24"/>
              </w:rPr>
              <w:t xml:space="preserve"> polarity. Despite the importance</w:t>
            </w:r>
            <w:r>
              <w:rPr>
                <w:sz w:val="24"/>
                <w:szCs w:val="24"/>
              </w:rPr>
              <w:t xml:space="preserve"> of these functions</w:t>
            </w:r>
            <w:r w:rsidRPr="002533EB">
              <w:rPr>
                <w:sz w:val="24"/>
                <w:szCs w:val="24"/>
              </w:rPr>
              <w:t>, the molecular events that coordinate centrosome and cilia assembly remain incompletely understood.</w:t>
            </w:r>
          </w:p>
          <w:p w14:paraId="5FFF9504" w14:textId="77777777" w:rsidR="00656DE6" w:rsidRPr="002533EB" w:rsidRDefault="00656DE6" w:rsidP="00656DE6">
            <w:pPr>
              <w:rPr>
                <w:sz w:val="24"/>
                <w:szCs w:val="24"/>
              </w:rPr>
            </w:pPr>
          </w:p>
          <w:p w14:paraId="60B38168" w14:textId="6B049650" w:rsidR="00656DE6" w:rsidRDefault="00656DE6" w:rsidP="00656DE6">
            <w:pPr>
              <w:rPr>
                <w:sz w:val="24"/>
                <w:szCs w:val="24"/>
              </w:rPr>
            </w:pPr>
            <w:r w:rsidRPr="002533EB">
              <w:rPr>
                <w:sz w:val="24"/>
                <w:szCs w:val="24"/>
              </w:rPr>
              <w:t xml:space="preserve">This project </w:t>
            </w:r>
            <w:r>
              <w:rPr>
                <w:sz w:val="24"/>
                <w:szCs w:val="24"/>
              </w:rPr>
              <w:t xml:space="preserve">will </w:t>
            </w:r>
            <w:r w:rsidRPr="002533EB">
              <w:rPr>
                <w:sz w:val="24"/>
                <w:szCs w:val="24"/>
              </w:rPr>
              <w:t>address th</w:t>
            </w:r>
            <w:r>
              <w:rPr>
                <w:sz w:val="24"/>
                <w:szCs w:val="24"/>
              </w:rPr>
              <w:t>is</w:t>
            </w:r>
            <w:r w:rsidRPr="002533EB">
              <w:rPr>
                <w:sz w:val="24"/>
                <w:szCs w:val="24"/>
              </w:rPr>
              <w:t xml:space="preserve"> challenge by leveraging recent</w:t>
            </w:r>
            <w:r>
              <w:rPr>
                <w:sz w:val="24"/>
                <w:szCs w:val="24"/>
              </w:rPr>
              <w:t xml:space="preserve"> </w:t>
            </w:r>
            <w:r w:rsidRPr="002533EB">
              <w:rPr>
                <w:sz w:val="24"/>
                <w:szCs w:val="24"/>
              </w:rPr>
              <w:t>transformative advances in light microscopy to discover the spatial</w:t>
            </w:r>
            <w:r>
              <w:rPr>
                <w:sz w:val="24"/>
                <w:szCs w:val="24"/>
              </w:rPr>
              <w:t xml:space="preserve"> </w:t>
            </w:r>
            <w:r w:rsidRPr="002533EB">
              <w:rPr>
                <w:sz w:val="24"/>
                <w:szCs w:val="24"/>
              </w:rPr>
              <w:t xml:space="preserve">and temporal molecular events underlying centrosome </w:t>
            </w:r>
            <w:r>
              <w:rPr>
                <w:sz w:val="24"/>
                <w:szCs w:val="24"/>
              </w:rPr>
              <w:t xml:space="preserve">and cilium </w:t>
            </w:r>
            <w:r w:rsidRPr="002533EB">
              <w:rPr>
                <w:sz w:val="24"/>
                <w:szCs w:val="24"/>
              </w:rPr>
              <w:t>assembly. You will use advanced live-cell and super-resolution imaging to visualise organelle dynamics at high spatial and temporal resolution</w:t>
            </w:r>
            <w:r>
              <w:rPr>
                <w:sz w:val="24"/>
                <w:szCs w:val="24"/>
              </w:rPr>
              <w:t xml:space="preserve">. </w:t>
            </w:r>
            <w:r w:rsidRPr="002533EB">
              <w:rPr>
                <w:sz w:val="24"/>
                <w:szCs w:val="24"/>
              </w:rPr>
              <w:t>Using genetic and light-mediated perturbations</w:t>
            </w:r>
            <w:r>
              <w:rPr>
                <w:sz w:val="24"/>
                <w:szCs w:val="24"/>
              </w:rPr>
              <w:t xml:space="preserve"> </w:t>
            </w:r>
            <w:r w:rsidRPr="002533EB">
              <w:rPr>
                <w:sz w:val="24"/>
                <w:szCs w:val="24"/>
              </w:rPr>
              <w:t>directly inside living cells, we will understand why key centrosome</w:t>
            </w:r>
            <w:r>
              <w:rPr>
                <w:sz w:val="24"/>
                <w:szCs w:val="24"/>
              </w:rPr>
              <w:t xml:space="preserve"> </w:t>
            </w:r>
            <w:r w:rsidRPr="002533EB">
              <w:rPr>
                <w:sz w:val="24"/>
                <w:szCs w:val="24"/>
              </w:rPr>
              <w:t xml:space="preserve">building blocks are required during cell division. In collaboration with </w:t>
            </w:r>
            <w:r>
              <w:rPr>
                <w:sz w:val="24"/>
                <w:szCs w:val="24"/>
              </w:rPr>
              <w:t>other</w:t>
            </w:r>
            <w:r w:rsidRPr="002533EB">
              <w:rPr>
                <w:sz w:val="24"/>
                <w:szCs w:val="24"/>
              </w:rPr>
              <w:t xml:space="preserve"> group</w:t>
            </w:r>
            <w:r>
              <w:rPr>
                <w:sz w:val="24"/>
                <w:szCs w:val="24"/>
              </w:rPr>
              <w:t>s</w:t>
            </w:r>
            <w:r w:rsidRPr="002533EB">
              <w:rPr>
                <w:sz w:val="24"/>
                <w:szCs w:val="24"/>
              </w:rPr>
              <w:t xml:space="preserve">, you will </w:t>
            </w:r>
            <w:r>
              <w:rPr>
                <w:sz w:val="24"/>
                <w:szCs w:val="24"/>
              </w:rPr>
              <w:t xml:space="preserve">understand how the </w:t>
            </w:r>
            <w:r w:rsidRPr="002533EB">
              <w:rPr>
                <w:sz w:val="24"/>
                <w:szCs w:val="24"/>
              </w:rPr>
              <w:t>pathways that control centrosome and cili</w:t>
            </w:r>
            <w:r>
              <w:rPr>
                <w:sz w:val="24"/>
                <w:szCs w:val="24"/>
              </w:rPr>
              <w:t xml:space="preserve">um assembly vary across different cell types and </w:t>
            </w:r>
            <w:r w:rsidRPr="002533EB">
              <w:rPr>
                <w:sz w:val="24"/>
                <w:szCs w:val="24"/>
              </w:rPr>
              <w:t>why key centrosome</w:t>
            </w:r>
            <w:r>
              <w:rPr>
                <w:sz w:val="24"/>
                <w:szCs w:val="24"/>
              </w:rPr>
              <w:t xml:space="preserve"> </w:t>
            </w:r>
            <w:r w:rsidRPr="002533EB">
              <w:rPr>
                <w:sz w:val="24"/>
                <w:szCs w:val="24"/>
              </w:rPr>
              <w:t>building blocks are required</w:t>
            </w:r>
            <w:r>
              <w:rPr>
                <w:sz w:val="24"/>
                <w:szCs w:val="24"/>
              </w:rPr>
              <w:t xml:space="preserve"> for cell function. </w:t>
            </w:r>
            <w:r w:rsidRPr="002533EB">
              <w:rPr>
                <w:sz w:val="24"/>
                <w:szCs w:val="24"/>
              </w:rPr>
              <w:t>Together this will improve the understanding of how cells are able to</w:t>
            </w:r>
            <w:r>
              <w:rPr>
                <w:sz w:val="24"/>
                <w:szCs w:val="24"/>
              </w:rPr>
              <w:t xml:space="preserve"> </w:t>
            </w:r>
            <w:r w:rsidRPr="002533EB">
              <w:rPr>
                <w:sz w:val="24"/>
                <w:szCs w:val="24"/>
              </w:rPr>
              <w:t>accurately make copies of themselves</w:t>
            </w:r>
            <w:r>
              <w:rPr>
                <w:sz w:val="24"/>
                <w:szCs w:val="24"/>
              </w:rPr>
              <w:t>, and lay the foundations to understand in the future how this goes wrong in diseases like cancer.</w:t>
            </w:r>
          </w:p>
          <w:p w14:paraId="2A076F6E" w14:textId="77777777" w:rsidR="00656DE6" w:rsidRPr="002533EB" w:rsidRDefault="00656DE6" w:rsidP="00656DE6">
            <w:pPr>
              <w:rPr>
                <w:sz w:val="24"/>
                <w:szCs w:val="24"/>
              </w:rPr>
            </w:pPr>
          </w:p>
          <w:p w14:paraId="6178553C" w14:textId="77777777" w:rsidR="00656DE6" w:rsidRPr="002533EB" w:rsidRDefault="00656DE6" w:rsidP="00656DE6">
            <w:pPr>
              <w:rPr>
                <w:sz w:val="24"/>
                <w:szCs w:val="24"/>
              </w:rPr>
            </w:pPr>
            <w:r w:rsidRPr="002533EB">
              <w:rPr>
                <w:sz w:val="24"/>
                <w:szCs w:val="24"/>
              </w:rPr>
              <w:t>The project provides a</w:t>
            </w:r>
            <w:r>
              <w:rPr>
                <w:sz w:val="24"/>
                <w:szCs w:val="24"/>
              </w:rPr>
              <w:t xml:space="preserve"> supportive </w:t>
            </w:r>
            <w:r w:rsidRPr="002533EB">
              <w:rPr>
                <w:sz w:val="24"/>
                <w:szCs w:val="24"/>
              </w:rPr>
              <w:t>training environment spanning cell biology</w:t>
            </w:r>
            <w:r>
              <w:rPr>
                <w:sz w:val="24"/>
                <w:szCs w:val="24"/>
              </w:rPr>
              <w:t>/</w:t>
            </w:r>
            <w:r w:rsidRPr="002533EB">
              <w:rPr>
                <w:sz w:val="24"/>
                <w:szCs w:val="24"/>
              </w:rPr>
              <w:t>advanced quantitative imaging</w:t>
            </w:r>
            <w:r>
              <w:rPr>
                <w:sz w:val="24"/>
                <w:szCs w:val="24"/>
              </w:rPr>
              <w:t xml:space="preserve"> </w:t>
            </w:r>
            <w:r w:rsidRPr="002533EB">
              <w:rPr>
                <w:sz w:val="24"/>
                <w:szCs w:val="24"/>
              </w:rPr>
              <w:t>(Robert Mahen) and genomics/oncology (</w:t>
            </w:r>
            <w:proofErr w:type="spellStart"/>
            <w:r w:rsidRPr="002533EB">
              <w:rPr>
                <w:sz w:val="24"/>
                <w:szCs w:val="24"/>
              </w:rPr>
              <w:t>Gianmarco</w:t>
            </w:r>
            <w:proofErr w:type="spellEnd"/>
            <w:r w:rsidRPr="002533EB">
              <w:rPr>
                <w:sz w:val="24"/>
                <w:szCs w:val="24"/>
              </w:rPr>
              <w:t xml:space="preserve"> </w:t>
            </w:r>
            <w:proofErr w:type="spellStart"/>
            <w:r w:rsidRPr="002533EB">
              <w:rPr>
                <w:sz w:val="24"/>
                <w:szCs w:val="24"/>
              </w:rPr>
              <w:t>Contino</w:t>
            </w:r>
            <w:proofErr w:type="spellEnd"/>
            <w:r w:rsidRPr="002533EB">
              <w:rPr>
                <w:sz w:val="24"/>
                <w:szCs w:val="24"/>
              </w:rPr>
              <w:t>).</w:t>
            </w:r>
            <w:r>
              <w:rPr>
                <w:sz w:val="24"/>
                <w:szCs w:val="24"/>
              </w:rPr>
              <w:t xml:space="preserve"> </w:t>
            </w:r>
            <w:r w:rsidRPr="002533EB">
              <w:rPr>
                <w:sz w:val="24"/>
                <w:szCs w:val="24"/>
              </w:rPr>
              <w:t xml:space="preserve">It </w:t>
            </w:r>
            <w:r w:rsidRPr="002533EB">
              <w:rPr>
                <w:sz w:val="24"/>
                <w:szCs w:val="24"/>
              </w:rPr>
              <w:lastRenderedPageBreak/>
              <w:t xml:space="preserve">offers an exciting opportunity for you to explore </w:t>
            </w:r>
            <w:r>
              <w:rPr>
                <w:sz w:val="24"/>
                <w:szCs w:val="24"/>
              </w:rPr>
              <w:t>what interests you</w:t>
            </w:r>
            <w:r w:rsidRPr="002533EB">
              <w:rPr>
                <w:sz w:val="24"/>
                <w:szCs w:val="24"/>
              </w:rPr>
              <w:t xml:space="preserve"> whil</w:t>
            </w:r>
            <w:r>
              <w:rPr>
                <w:sz w:val="24"/>
                <w:szCs w:val="24"/>
              </w:rPr>
              <w:t>st</w:t>
            </w:r>
            <w:r w:rsidRPr="002533EB">
              <w:rPr>
                <w:sz w:val="24"/>
                <w:szCs w:val="24"/>
              </w:rPr>
              <w:t xml:space="preserve"> developing cutting-edge technical and analytical expertise.</w:t>
            </w:r>
          </w:p>
          <w:p w14:paraId="7D5A56ED" w14:textId="77777777" w:rsidR="001218DF" w:rsidRDefault="001218DF" w:rsidP="00ED69E6">
            <w:pPr>
              <w:rPr>
                <w:b/>
              </w:rPr>
            </w:pPr>
          </w:p>
          <w:p w14:paraId="48BB60B8" w14:textId="77777777" w:rsidR="001218DF" w:rsidRDefault="001218DF" w:rsidP="00ED69E6">
            <w:pPr>
              <w:rPr>
                <w:rFonts w:ascii="DroidSans" w:eastAsiaTheme="minorHAnsi" w:hAnsi="DroidSans" w:cs="DroidSans"/>
                <w:color w:val="404040"/>
                <w:sz w:val="20"/>
                <w:szCs w:val="20"/>
                <w:lang w:eastAsia="en-US"/>
              </w:rPr>
            </w:pPr>
            <w:r>
              <w:rPr>
                <w:rFonts w:ascii="DroidSans" w:eastAsiaTheme="minorHAnsi" w:hAnsi="DroidSans" w:cs="DroidSans"/>
                <w:color w:val="404040"/>
                <w:sz w:val="20"/>
                <w:szCs w:val="20"/>
                <w:lang w:eastAsia="en-US"/>
              </w:rPr>
              <w:t>Techniques that will be undertaken during the project</w:t>
            </w:r>
          </w:p>
          <w:p w14:paraId="0D771A36" w14:textId="77777777" w:rsidR="00656DE6" w:rsidRPr="00656DE6" w:rsidRDefault="00656DE6" w:rsidP="00656DE6">
            <w:pPr>
              <w:autoSpaceDE w:val="0"/>
              <w:autoSpaceDN w:val="0"/>
              <w:adjustRightInd w:val="0"/>
              <w:rPr>
                <w:rFonts w:ascii="DroidSerif" w:eastAsiaTheme="minorHAnsi" w:hAnsi="DroidSerif" w:cs="DroidSerif"/>
                <w:color w:val="auto"/>
                <w:sz w:val="25"/>
                <w:szCs w:val="25"/>
                <w:lang w:eastAsia="en-US"/>
              </w:rPr>
            </w:pPr>
            <w:r w:rsidRPr="00656DE6">
              <w:rPr>
                <w:rFonts w:ascii="DroidSerif" w:eastAsiaTheme="minorHAnsi" w:hAnsi="DroidSerif" w:cs="DroidSerif"/>
                <w:color w:val="auto"/>
                <w:sz w:val="25"/>
                <w:szCs w:val="25"/>
                <w:lang w:eastAsia="en-US"/>
              </w:rPr>
              <w:t xml:space="preserve">- Advanced fluorescence microscopy (confocal, live-cell, and super-resolution imaging) </w:t>
            </w:r>
            <w:r w:rsidRPr="00656DE6">
              <w:rPr>
                <w:rFonts w:ascii="DroidSerif" w:eastAsiaTheme="minorHAnsi" w:hAnsi="DroidSerif" w:cs="DroidSerif"/>
                <w:color w:val="auto"/>
                <w:sz w:val="25"/>
                <w:szCs w:val="25"/>
                <w:lang w:eastAsia="en-US"/>
              </w:rPr>
              <w:br/>
              <w:t>- Cell culture and 3D organoids</w:t>
            </w:r>
            <w:r w:rsidRPr="00656DE6">
              <w:rPr>
                <w:rFonts w:ascii="DroidSerif" w:eastAsiaTheme="minorHAnsi" w:hAnsi="DroidSerif" w:cs="DroidSerif"/>
                <w:color w:val="auto"/>
                <w:sz w:val="25"/>
                <w:szCs w:val="25"/>
                <w:lang w:eastAsia="en-US"/>
              </w:rPr>
              <w:br/>
              <w:t xml:space="preserve">- CRISPR/Cas9 genome editing and RNA interference </w:t>
            </w:r>
            <w:r w:rsidRPr="00656DE6">
              <w:rPr>
                <w:rFonts w:ascii="DroidSerif" w:eastAsiaTheme="minorHAnsi" w:hAnsi="DroidSerif" w:cs="DroidSerif"/>
                <w:color w:val="auto"/>
                <w:sz w:val="25"/>
                <w:szCs w:val="25"/>
                <w:lang w:eastAsia="en-US"/>
              </w:rPr>
              <w:br/>
              <w:t>- Molecular biology</w:t>
            </w:r>
            <w:r w:rsidRPr="00656DE6">
              <w:rPr>
                <w:rFonts w:ascii="DroidSerif" w:eastAsiaTheme="minorHAnsi" w:hAnsi="DroidSerif" w:cs="DroidSerif"/>
                <w:color w:val="auto"/>
                <w:sz w:val="25"/>
                <w:szCs w:val="25"/>
                <w:lang w:eastAsia="en-US"/>
              </w:rPr>
              <w:br/>
              <w:t xml:space="preserve">- Patient-derived primary cell models </w:t>
            </w:r>
            <w:r w:rsidRPr="00656DE6">
              <w:rPr>
                <w:rFonts w:ascii="DroidSerif" w:eastAsiaTheme="minorHAnsi" w:hAnsi="DroidSerif" w:cs="DroidSerif"/>
                <w:color w:val="auto"/>
                <w:sz w:val="25"/>
                <w:szCs w:val="25"/>
                <w:lang w:eastAsia="en-US"/>
              </w:rPr>
              <w:br/>
              <w:t xml:space="preserve">- Expansion microscopy </w:t>
            </w:r>
            <w:r w:rsidRPr="00656DE6">
              <w:rPr>
                <w:rFonts w:ascii="DroidSerif" w:eastAsiaTheme="minorHAnsi" w:hAnsi="DroidSerif" w:cs="DroidSerif"/>
                <w:color w:val="auto"/>
                <w:sz w:val="25"/>
                <w:szCs w:val="25"/>
                <w:lang w:eastAsia="en-US"/>
              </w:rPr>
              <w:br/>
              <w:t>- Quantitative image analysis tools</w:t>
            </w:r>
          </w:p>
          <w:p w14:paraId="52EFBB87" w14:textId="060C4905" w:rsidR="001218DF" w:rsidRPr="00656DE6" w:rsidRDefault="00656DE6" w:rsidP="00656DE6">
            <w:pPr>
              <w:autoSpaceDE w:val="0"/>
              <w:autoSpaceDN w:val="0"/>
              <w:adjustRightInd w:val="0"/>
              <w:rPr>
                <w:rFonts w:ascii="DroidSerif" w:eastAsiaTheme="minorHAnsi" w:hAnsi="DroidSerif" w:cs="DroidSerif"/>
                <w:color w:val="auto"/>
                <w:sz w:val="25"/>
                <w:szCs w:val="25"/>
                <w:lang w:eastAsia="en-US"/>
              </w:rPr>
            </w:pPr>
            <w:r w:rsidRPr="00656DE6">
              <w:rPr>
                <w:rFonts w:ascii="DroidSerif" w:eastAsiaTheme="minorHAnsi" w:hAnsi="DroidSerif" w:cs="DroidSerif"/>
                <w:color w:val="auto"/>
                <w:sz w:val="25"/>
                <w:szCs w:val="25"/>
                <w:lang w:eastAsia="en-US"/>
              </w:rPr>
              <w:t>- Optogenetics</w:t>
            </w:r>
          </w:p>
        </w:tc>
      </w:tr>
      <w:tr w:rsidR="003A7DAE" w14:paraId="703CFC4C" w14:textId="77777777" w:rsidTr="001C1AF7">
        <w:tc>
          <w:tcPr>
            <w:tcW w:w="9016" w:type="dxa"/>
            <w:gridSpan w:val="2"/>
            <w:shd w:val="clear" w:color="auto" w:fill="F2F2F2" w:themeFill="background1" w:themeFillShade="F2"/>
          </w:tcPr>
          <w:p w14:paraId="40B4B97E" w14:textId="39FA6C4F" w:rsidR="003A7DAE" w:rsidRDefault="003A7DAE" w:rsidP="001C1AF7">
            <w:r>
              <w:rPr>
                <w:b/>
              </w:rPr>
              <w:lastRenderedPageBreak/>
              <w:t>References</w:t>
            </w:r>
          </w:p>
        </w:tc>
      </w:tr>
      <w:tr w:rsidR="003A7DAE" w14:paraId="6D3114C6" w14:textId="77777777" w:rsidTr="00ED69E6">
        <w:tc>
          <w:tcPr>
            <w:tcW w:w="9016" w:type="dxa"/>
            <w:gridSpan w:val="2"/>
          </w:tcPr>
          <w:p w14:paraId="17804839" w14:textId="77777777" w:rsidR="003A7DAE" w:rsidRDefault="003A7DAE" w:rsidP="00ED69E6">
            <w:pPr>
              <w:rPr>
                <w:b/>
              </w:rPr>
            </w:pPr>
          </w:p>
          <w:p w14:paraId="7B9A96D4" w14:textId="77777777" w:rsidR="003A7DAE" w:rsidRDefault="003A7DAE" w:rsidP="00ED69E6">
            <w:pPr>
              <w:rPr>
                <w:b/>
              </w:rPr>
            </w:pPr>
          </w:p>
          <w:p w14:paraId="26779BDF" w14:textId="77777777" w:rsidR="003A7DAE" w:rsidRDefault="003A7DAE" w:rsidP="00ED69E6">
            <w:pPr>
              <w:rPr>
                <w:b/>
              </w:rPr>
            </w:pPr>
          </w:p>
          <w:p w14:paraId="7D2CFDBB" w14:textId="77777777" w:rsidR="003A7DAE" w:rsidRDefault="003A7DAE" w:rsidP="00ED69E6">
            <w:pPr>
              <w:rPr>
                <w:b/>
              </w:rPr>
            </w:pPr>
          </w:p>
          <w:p w14:paraId="4CC99A4B" w14:textId="55A384DD" w:rsidR="003A7DAE" w:rsidRDefault="003A7DAE" w:rsidP="00ED69E6">
            <w:pPr>
              <w:rPr>
                <w:b/>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Serif">
    <w:altName w:val="Calibri"/>
    <w:panose1 w:val="00000000000000000000"/>
    <w:charset w:val="00"/>
    <w:family w:val="auto"/>
    <w:notTrueType/>
    <w:pitch w:val="default"/>
    <w:sig w:usb0="00000003" w:usb1="00000000" w:usb2="00000000" w:usb3="00000000" w:csb0="00000001" w:csb1="00000000"/>
  </w:font>
  <w:font w:name="DroidSans">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0F6D21"/>
    <w:rsid w:val="001218DF"/>
    <w:rsid w:val="00203CDE"/>
    <w:rsid w:val="00281127"/>
    <w:rsid w:val="002D4BF8"/>
    <w:rsid w:val="003A7DAE"/>
    <w:rsid w:val="00656DE6"/>
    <w:rsid w:val="006F46FB"/>
    <w:rsid w:val="007151A1"/>
    <w:rsid w:val="009C47A8"/>
    <w:rsid w:val="00A904FB"/>
    <w:rsid w:val="00AE49DF"/>
    <w:rsid w:val="00BB70D0"/>
    <w:rsid w:val="00BD5F21"/>
    <w:rsid w:val="00C5586E"/>
    <w:rsid w:val="00DE6413"/>
    <w:rsid w:val="00F038B2"/>
    <w:rsid w:val="00F2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contino@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c.uk/people/robert-mahen" TargetMode="External"/><Relationship Id="rId5" Type="http://schemas.openxmlformats.org/officeDocument/2006/relationships/hyperlink" Target="mailto:rm722@leicester.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Finch, Lisa A.</cp:lastModifiedBy>
  <cp:revision>2</cp:revision>
  <dcterms:created xsi:type="dcterms:W3CDTF">2025-10-14T08:20:00Z</dcterms:created>
  <dcterms:modified xsi:type="dcterms:W3CDTF">2025-10-14T08:20:00Z</dcterms:modified>
</cp:coreProperties>
</file>