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4CC50F5" w:rsidR="00066C81" w:rsidRPr="00066C81" w:rsidRDefault="006B7690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Dr Natalie Garton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6F5F3AFF" w:rsidR="00066C81" w:rsidRPr="00066C81" w:rsidRDefault="006B7690" w:rsidP="006B7690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Microbiology and Infection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15ED6459" w14:textId="77777777" w:rsidR="007151A1" w:rsidRDefault="003D59AE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8" w:history="1">
              <w:r w:rsidR="006B7690" w:rsidRPr="0041215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njg17@leicester.ac.uk</w:t>
              </w:r>
            </w:hyperlink>
            <w:r w:rsidR="006B7690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5858F0BA" w:rsidR="006B7690" w:rsidRPr="00066C81" w:rsidRDefault="003D59AE" w:rsidP="00066C81">
            <w:hyperlink r:id="rId9" w:history="1">
              <w:r w:rsidR="006B7690" w:rsidRPr="0041215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https://le.ac.uk/people/natalie-garton</w:t>
              </w:r>
            </w:hyperlink>
            <w:r w:rsidR="006B7690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6509A343" w:rsidR="00066C81" w:rsidRDefault="006B7690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Professor Galina Mukamolova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150BE0FD" w:rsidR="00066C81" w:rsidRDefault="006B7690" w:rsidP="006B7690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Biological and Biomedical Sciences, Division of Microbiology and Infection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337EA5C" w:rsidR="003A7DAE" w:rsidRDefault="003D59AE" w:rsidP="00ED69E6">
            <w:hyperlink r:id="rId10" w:history="1">
              <w:r w:rsidR="006B7690" w:rsidRPr="0041215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gvm4@leicester.ac.uk</w:t>
              </w:r>
            </w:hyperlink>
            <w:r w:rsidR="006B7690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041F6CAF" w:rsidR="00066C81" w:rsidRDefault="006B7690" w:rsidP="006B7690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the roles of triacylglycerol in modulating mycobacterial growth and biophysical properties.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5A6DFCA6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Mycobacteria contain more lipid than other bacteria. Lipids are responsible for</w:t>
            </w:r>
          </w:p>
          <w:p w14:paraId="48824EFC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properties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e.g.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low permeability and are central as reserves of carbon and</w:t>
            </w:r>
          </w:p>
          <w:p w14:paraId="4A1CFBDA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energy to fuel metabolism and growth. In the host, in response to growth</w:t>
            </w:r>
          </w:p>
          <w:p w14:paraId="54F6C006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limiting factors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e.g.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nitrosative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stress, </w:t>
            </w:r>
            <w:r w:rsidRPr="003D59AE">
              <w:rPr>
                <w:rFonts w:ascii="DroidSerif" w:eastAsiaTheme="minorHAnsi" w:hAnsi="DroidSerif" w:cs="DroidSerif"/>
                <w:i/>
                <w:iCs/>
                <w:color w:val="auto"/>
                <w:sz w:val="25"/>
                <w:szCs w:val="25"/>
                <w:lang w:eastAsia="en-US"/>
              </w:rPr>
              <w:t>Mycobacterium tuberculosis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), the</w:t>
            </w:r>
          </w:p>
          <w:p w14:paraId="19317A40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agent of tuberculosis (TB), enters a state of low metabolic activity arresting</w:t>
            </w:r>
          </w:p>
          <w:p w14:paraId="1A2BBB73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growth, accumulating triacylglycerol lipid bodies (TAG LB) and forming</w:t>
            </w:r>
          </w:p>
          <w:p w14:paraId="1AC2E839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differentially culturable (DC) cells undetectable with standard culture. Tolerant</w:t>
            </w:r>
          </w:p>
          <w:p w14:paraId="42538416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to the action of antibiotics, DC and TAG LB-rich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impact TB treatment.</w:t>
            </w:r>
          </w:p>
          <w:p w14:paraId="18FF0E5F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H37Rv (lab strain) is TAG-poor during growth. Growth arrest leads to TAG</w:t>
            </w:r>
          </w:p>
          <w:p w14:paraId="0BD705D7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synthase (</w:t>
            </w:r>
            <w:r w:rsidRPr="003D59AE">
              <w:rPr>
                <w:rFonts w:ascii="DroidSerif" w:eastAsiaTheme="minorHAnsi" w:hAnsi="DroidSerif" w:cs="DroidSerif"/>
                <w:i/>
                <w:iCs/>
                <w:color w:val="auto"/>
                <w:sz w:val="25"/>
                <w:szCs w:val="25"/>
                <w:lang w:eastAsia="en-US"/>
              </w:rPr>
              <w:t>tgs1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expression and TAG accumulation, that can be assimilated in</w:t>
            </w:r>
          </w:p>
          <w:p w14:paraId="5307CCD7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growth-permissible conditions. TAG export (increasing envelope content) is</w:t>
            </w:r>
          </w:p>
          <w:p w14:paraId="6D4A35BC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proposed to modulate growth by regulating TAG accumulation. However, clinical</w:t>
            </w:r>
          </w:p>
          <w:p w14:paraId="52FC6123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isolates of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Mtb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have variable </w:t>
            </w:r>
            <w:r w:rsidRPr="003D59AE">
              <w:rPr>
                <w:rFonts w:ascii="DroidSerif" w:eastAsiaTheme="minorHAnsi" w:hAnsi="DroidSerif" w:cs="DroidSerif"/>
                <w:i/>
                <w:iCs/>
                <w:color w:val="auto"/>
                <w:sz w:val="25"/>
                <w:szCs w:val="25"/>
                <w:lang w:eastAsia="en-US"/>
              </w:rPr>
              <w:t>tgs1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expression and TAG LB content during growth.</w:t>
            </w:r>
          </w:p>
          <w:p w14:paraId="37274EA9" w14:textId="6243CE6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It is not known if this represents reduced capacity to respond to growth</w:t>
            </w:r>
            <w:r w:rsidR="00BD50C4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arresting</w:t>
            </w:r>
          </w:p>
          <w:p w14:paraId="7A018627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stimuli, impacts potential recovery following relief of these stresses, or</w:t>
            </w:r>
          </w:p>
          <w:p w14:paraId="2784816D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DC bacteria formation.</w:t>
            </w:r>
          </w:p>
          <w:p w14:paraId="216604CC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Lipid content influences physical properties, for example cell surface</w:t>
            </w:r>
          </w:p>
          <w:p w14:paraId="61D2C38D" w14:textId="5E522001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hydrophobicity (CSH)</w:t>
            </w:r>
            <w:r w:rsidR="00BD50C4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lipid accumulation enhances buoyancy. This may alter</w:t>
            </w:r>
          </w:p>
          <w:p w14:paraId="6DA4CFF6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aerosolisability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or host cell interaction, influencing transmission and pathogenic</w:t>
            </w:r>
          </w:p>
          <w:p w14:paraId="66CB051A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potential.</w:t>
            </w:r>
          </w:p>
          <w:p w14:paraId="158FB6A7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understand the roles of mycobacterial TAG in influencing growth and</w:t>
            </w:r>
          </w:p>
          <w:p w14:paraId="455ECFFA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biophysical properties, different species, strains and key mutants of TAG</w:t>
            </w:r>
          </w:p>
          <w:p w14:paraId="615D8335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synthesis, assimilation or transport will be used in experimentation.</w:t>
            </w:r>
          </w:p>
          <w:p w14:paraId="5B7F7CD7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Objectives:</w:t>
            </w:r>
          </w:p>
          <w:p w14:paraId="44E53639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Determine if TAG LB content impacts response to growth-arresting stimuli and</w:t>
            </w:r>
          </w:p>
          <w:p w14:paraId="285DF4B0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later regrowth.</w:t>
            </w:r>
          </w:p>
          <w:p w14:paraId="3780BE75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Determine if TAG represents a dynamic metabolic pool in growth, with fatty acid</w:t>
            </w:r>
          </w:p>
          <w:p w14:paraId="61176305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flux measurement through various lipid fractions.</w:t>
            </w:r>
          </w:p>
          <w:p w14:paraId="593EB2D2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Measure cytoplasmic and cell envelope TAG content and associated biophysical</w:t>
            </w:r>
          </w:p>
          <w:p w14:paraId="6FD02B57" w14:textId="77777777" w:rsidR="00066C81" w:rsidRDefault="006B7690" w:rsidP="006B7690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properties, such as CSH and buoyancy</w:t>
            </w:r>
          </w:p>
          <w:p w14:paraId="5EDA6DF2" w14:textId="77777777" w:rsidR="006B7690" w:rsidRDefault="006B7690" w:rsidP="006B7690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6AEEA6BB" w14:textId="0F139CBE" w:rsidR="006B7690" w:rsidRDefault="006B7690" w:rsidP="006B7690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52D03C1E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Actinobacteria culture and growth assays in defined conditions</w:t>
            </w:r>
          </w:p>
          <w:p w14:paraId="199F324D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 modification of Actinobacteria.</w:t>
            </w:r>
          </w:p>
          <w:p w14:paraId="0B5980ED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Lipid analytical methods to include, chemical extraction, thin layer</w:t>
            </w:r>
          </w:p>
          <w:p w14:paraId="22A8541B" w14:textId="75D81542" w:rsidR="00BD50C4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chromatography, mass spectrometry,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radioisotopic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labelling, fluorimetry</w:t>
            </w:r>
            <w:r w:rsidR="00BD50C4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.</w:t>
            </w:r>
          </w:p>
          <w:p w14:paraId="23B84FFF" w14:textId="7DB48E2B" w:rsidR="006B7690" w:rsidRDefault="00BD50C4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</w:t>
            </w:r>
            <w:r w:rsidR="006B7690"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ytological analyses using fluorescence microscopy and transmission electron</w:t>
            </w:r>
          </w:p>
          <w:p w14:paraId="70E19DC9" w14:textId="77777777" w:rsidR="006B7690" w:rsidRDefault="006B7690" w:rsidP="006B769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microscopy.</w:t>
            </w:r>
          </w:p>
          <w:p w14:paraId="52EFBB87" w14:textId="1A6F120C" w:rsidR="006B7690" w:rsidRDefault="006B7690" w:rsidP="006B7690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Enzyme assays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52DFAA84" w:rsidR="003A7DAE" w:rsidRDefault="00BD50C4" w:rsidP="00ED69E6">
            <w:pPr>
              <w:rPr>
                <w:b/>
              </w:rPr>
            </w:pP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Tarekegn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, B. G. et al. (2024) ‘Host and pathogen strain interaction in tuberculosis revealed by measurement of exhaled nitric oxide, mycobacterial lipid bodies in sputum and treatment responses: An observational study’. Lancet Microbe.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doi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: 10.1016/S2666-524(24)00108-3)</w:t>
            </w:r>
            <w:r>
              <w:rPr>
                <w:rFonts w:ascii="Arial" w:hAnsi="Arial" w:cs="Arial"/>
                <w:color w:val="212529"/>
                <w:sz w:val="25"/>
                <w:szCs w:val="25"/>
              </w:rPr>
              <w:br/>
            </w:r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Garton, N. J. et al. (2008) ‘Cytological and transcript analyses reveal fat and lazy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persister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-like bacilli in tuberculous sputum’, PLOS Med., Apr 1;5(4): e75,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doi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: 10.1371/journal.pmed.0050075</w:t>
            </w:r>
            <w:r>
              <w:rPr>
                <w:rFonts w:ascii="Arial" w:hAnsi="Arial" w:cs="Arial"/>
                <w:color w:val="212529"/>
                <w:sz w:val="25"/>
                <w:szCs w:val="25"/>
              </w:rPr>
              <w:br/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Baek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, S. et al. (2011) ‘Metabolic Regulation of Mycobacterial Growth and Antibiotic Sensitivity’,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PLoS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 Biology, 9, e1001065,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doi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: 10.1371/journal.pbio.1001065</w:t>
            </w:r>
            <w:r>
              <w:rPr>
                <w:rFonts w:ascii="Arial" w:hAnsi="Arial" w:cs="Arial"/>
                <w:color w:val="212529"/>
                <w:sz w:val="25"/>
                <w:szCs w:val="25"/>
              </w:rPr>
              <w:br/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Martinot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, A. et al. (2016) ‘Mycobacterial Metabolic Syndrome: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LprG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 and Rv1410c Regulate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Triacylglyceride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 Levels, growth rate and Virulence in Mycobacterium tuberculosis’,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PLoS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 xml:space="preserve"> Pathogens, 12, e1005351, </w:t>
            </w:r>
            <w:proofErr w:type="spellStart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doi</w:t>
            </w:r>
            <w:proofErr w:type="spellEnd"/>
            <w:r>
              <w:rPr>
                <w:rFonts w:ascii="Arial" w:hAnsi="Arial" w:cs="Arial"/>
                <w:color w:val="212529"/>
                <w:sz w:val="25"/>
                <w:szCs w:val="25"/>
                <w:shd w:val="clear" w:color="auto" w:fill="F9F9F9"/>
              </w:rPr>
              <w:t>: 10.1371/journal.ppat.1005351</w:t>
            </w: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DAE"/>
    <w:rsid w:val="003D59AE"/>
    <w:rsid w:val="005F4F56"/>
    <w:rsid w:val="006B7690"/>
    <w:rsid w:val="006F46FB"/>
    <w:rsid w:val="007151A1"/>
    <w:rsid w:val="00751502"/>
    <w:rsid w:val="009C47A8"/>
    <w:rsid w:val="00A904FB"/>
    <w:rsid w:val="00AE49DF"/>
    <w:rsid w:val="00BB70D0"/>
    <w:rsid w:val="00BD50C4"/>
    <w:rsid w:val="00BD5F21"/>
    <w:rsid w:val="00DE6413"/>
    <w:rsid w:val="00E36462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5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0C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0C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g17@leic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vm4@leicester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e.ac.uk/people/natalie-gar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EE3FF9C7-277B-438A-8385-ED20FC76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93ce-1473-43f4-94d4-7d4e2e9f7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CB394-232F-44ED-B922-3320DB031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C9D5B-2B39-47E5-B082-4CD9C16188FD}">
  <ds:schemaRefs>
    <ds:schemaRef ds:uri="http://schemas.microsoft.com/office/2006/metadata/properties"/>
    <ds:schemaRef ds:uri="http://schemas.microsoft.com/office/infopath/2007/PartnerControls"/>
    <ds:schemaRef ds:uri="723d93ce-1473-43f4-94d4-7d4e2e9f73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2025-10-14T08:25:00Z</dcterms:created>
  <dcterms:modified xsi:type="dcterms:W3CDTF">2025-10-14T08:25:00Z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