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D9E85" w14:textId="1B1B1E88" w:rsidR="00AE49DF"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 xml:space="preserve">University of Leicester </w:t>
      </w:r>
    </w:p>
    <w:p w14:paraId="7C5B05E5" w14:textId="2FFC5213" w:rsidR="00F038B2" w:rsidRPr="00F038B2" w:rsidRDefault="00F038B2" w:rsidP="00F038B2">
      <w:pPr>
        <w:spacing w:after="0" w:line="240" w:lineRule="auto"/>
        <w:jc w:val="center"/>
        <w:rPr>
          <w:rFonts w:asciiTheme="majorHAnsi" w:hAnsiTheme="majorHAnsi" w:cstheme="majorHAnsi"/>
          <w:b/>
          <w:bCs/>
          <w:color w:val="auto"/>
          <w:sz w:val="28"/>
          <w:szCs w:val="28"/>
        </w:rPr>
      </w:pPr>
      <w:r w:rsidRPr="00F038B2">
        <w:rPr>
          <w:rFonts w:asciiTheme="majorHAnsi" w:hAnsiTheme="majorHAnsi" w:cstheme="majorHAnsi"/>
          <w:b/>
          <w:bCs/>
          <w:color w:val="auto"/>
          <w:sz w:val="28"/>
          <w:szCs w:val="28"/>
        </w:rPr>
        <w:t>MIBTP studentship project 2026</w:t>
      </w:r>
    </w:p>
    <w:p w14:paraId="1F075E5A" w14:textId="77777777" w:rsidR="00066C81" w:rsidRDefault="00066C81" w:rsidP="00066C81">
      <w:pPr>
        <w:spacing w:after="0" w:line="240" w:lineRule="auto"/>
      </w:pPr>
    </w:p>
    <w:tbl>
      <w:tblPr>
        <w:tblStyle w:val="TableGrid1"/>
        <w:tblW w:w="9034" w:type="dxa"/>
        <w:tblLayout w:type="fixed"/>
        <w:tblLook w:val="04A0" w:firstRow="1" w:lastRow="0" w:firstColumn="1" w:lastColumn="0" w:noHBand="0" w:noVBand="1"/>
      </w:tblPr>
      <w:tblGrid>
        <w:gridCol w:w="3227"/>
        <w:gridCol w:w="5807"/>
      </w:tblGrid>
      <w:tr w:rsidR="00066C81" w:rsidRPr="00066C81" w14:paraId="02121747" w14:textId="77777777" w:rsidTr="00ED69E6">
        <w:tc>
          <w:tcPr>
            <w:tcW w:w="3227" w:type="dxa"/>
            <w:shd w:val="clear" w:color="auto" w:fill="F2F2F2" w:themeFill="background1" w:themeFillShade="F2"/>
          </w:tcPr>
          <w:p w14:paraId="78BB6E55" w14:textId="77777777" w:rsidR="00066C81" w:rsidRPr="00066C81" w:rsidRDefault="00066C81" w:rsidP="00066C81">
            <w:pPr>
              <w:rPr>
                <w:b/>
              </w:rPr>
            </w:pPr>
            <w:r w:rsidRPr="00066C81">
              <w:rPr>
                <w:b/>
              </w:rPr>
              <w:t>First Supervisor</w:t>
            </w:r>
          </w:p>
        </w:tc>
        <w:tc>
          <w:tcPr>
            <w:tcW w:w="5807" w:type="dxa"/>
          </w:tcPr>
          <w:p w14:paraId="4984ADF3" w14:textId="47B7CC66" w:rsidR="00066C81" w:rsidRPr="00066C81" w:rsidRDefault="00424DE3" w:rsidP="00066C81">
            <w:r>
              <w:t xml:space="preserve">Dr </w:t>
            </w:r>
            <w:r w:rsidRPr="00424DE3">
              <w:t>Harvinder Virk</w:t>
            </w:r>
          </w:p>
        </w:tc>
      </w:tr>
      <w:tr w:rsidR="00066C81" w:rsidRPr="00066C81" w14:paraId="6DC0E45D" w14:textId="77777777" w:rsidTr="00ED69E6">
        <w:tc>
          <w:tcPr>
            <w:tcW w:w="3227" w:type="dxa"/>
            <w:shd w:val="clear" w:color="auto" w:fill="F2F2F2" w:themeFill="background1" w:themeFillShade="F2"/>
          </w:tcPr>
          <w:p w14:paraId="0B13A3A9" w14:textId="77777777" w:rsidR="00066C81" w:rsidRPr="00066C81" w:rsidRDefault="00066C81" w:rsidP="00066C81">
            <w:pPr>
              <w:rPr>
                <w:b/>
              </w:rPr>
            </w:pPr>
            <w:r w:rsidRPr="00066C81">
              <w:rPr>
                <w:b/>
              </w:rPr>
              <w:t>School/Department</w:t>
            </w:r>
          </w:p>
        </w:tc>
        <w:tc>
          <w:tcPr>
            <w:tcW w:w="5807" w:type="dxa"/>
          </w:tcPr>
          <w:p w14:paraId="0B7A4BF6" w14:textId="1DB7464F" w:rsidR="00066C81" w:rsidRPr="00066C81" w:rsidRDefault="002A0332" w:rsidP="00066C81">
            <w:r w:rsidRPr="002A0332">
              <w:t>School of Medical Sciences, Division of Respiratory Sciences</w:t>
            </w:r>
          </w:p>
        </w:tc>
      </w:tr>
      <w:tr w:rsidR="003A7DAE" w:rsidRPr="00066C81" w14:paraId="566BAE34" w14:textId="77777777" w:rsidTr="00BA13A1">
        <w:tc>
          <w:tcPr>
            <w:tcW w:w="3227" w:type="dxa"/>
            <w:shd w:val="clear" w:color="auto" w:fill="F2F2F2" w:themeFill="background1" w:themeFillShade="F2"/>
          </w:tcPr>
          <w:p w14:paraId="1C05A3B9" w14:textId="77777777" w:rsidR="003A7DAE" w:rsidRPr="00066C81" w:rsidRDefault="003A7DAE" w:rsidP="00066C81">
            <w:pPr>
              <w:rPr>
                <w:b/>
              </w:rPr>
            </w:pPr>
            <w:r w:rsidRPr="00066C81">
              <w:rPr>
                <w:b/>
              </w:rPr>
              <w:t xml:space="preserve">Email </w:t>
            </w:r>
          </w:p>
        </w:tc>
        <w:tc>
          <w:tcPr>
            <w:tcW w:w="5807" w:type="dxa"/>
          </w:tcPr>
          <w:p w14:paraId="28BF855B" w14:textId="54E7F021" w:rsidR="007151A1" w:rsidRPr="00066C81" w:rsidRDefault="00F62398" w:rsidP="00066C81">
            <w:hyperlink r:id="rId5" w:history="1">
              <w:r w:rsidR="002A0332" w:rsidRPr="006A2171">
                <w:rPr>
                  <w:rStyle w:val="Hyperlink"/>
                </w:rPr>
                <w:t>hsv6@leicester.ac.uk</w:t>
              </w:r>
            </w:hyperlink>
            <w:r w:rsidR="002A0332">
              <w:t xml:space="preserve"> </w:t>
            </w:r>
          </w:p>
        </w:tc>
      </w:tr>
    </w:tbl>
    <w:p w14:paraId="7C06D8EE"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5A30D420" w14:textId="77777777" w:rsidTr="00066C81">
        <w:tc>
          <w:tcPr>
            <w:tcW w:w="3256" w:type="dxa"/>
            <w:shd w:val="clear" w:color="auto" w:fill="F2F2F2" w:themeFill="background1" w:themeFillShade="F2"/>
          </w:tcPr>
          <w:p w14:paraId="2DBD0CB6" w14:textId="77777777" w:rsidR="00066C81" w:rsidRPr="00B11D52" w:rsidRDefault="00066C81" w:rsidP="00ED69E6">
            <w:pPr>
              <w:rPr>
                <w:b/>
              </w:rPr>
            </w:pPr>
            <w:r>
              <w:rPr>
                <w:b/>
              </w:rPr>
              <w:t>Second Supervisor</w:t>
            </w:r>
          </w:p>
        </w:tc>
        <w:tc>
          <w:tcPr>
            <w:tcW w:w="5778" w:type="dxa"/>
          </w:tcPr>
          <w:p w14:paraId="489D6B79" w14:textId="36AD7EBB" w:rsidR="00066C81" w:rsidRDefault="002A0332" w:rsidP="00ED69E6">
            <w:r>
              <w:t xml:space="preserve">Professor </w:t>
            </w:r>
            <w:r w:rsidRPr="002A0332">
              <w:t>David Cousins</w:t>
            </w:r>
          </w:p>
        </w:tc>
      </w:tr>
      <w:tr w:rsidR="00066C81" w14:paraId="04ACFF8B" w14:textId="77777777" w:rsidTr="00066C81">
        <w:tc>
          <w:tcPr>
            <w:tcW w:w="3256" w:type="dxa"/>
            <w:shd w:val="clear" w:color="auto" w:fill="F2F2F2" w:themeFill="background1" w:themeFillShade="F2"/>
          </w:tcPr>
          <w:p w14:paraId="1E46C14B" w14:textId="77777777" w:rsidR="00066C81" w:rsidRDefault="00066C81" w:rsidP="00ED69E6">
            <w:pPr>
              <w:rPr>
                <w:b/>
              </w:rPr>
            </w:pPr>
            <w:r>
              <w:rPr>
                <w:b/>
              </w:rPr>
              <w:t>School/Department</w:t>
            </w:r>
          </w:p>
        </w:tc>
        <w:tc>
          <w:tcPr>
            <w:tcW w:w="5778" w:type="dxa"/>
          </w:tcPr>
          <w:p w14:paraId="1B7222C7" w14:textId="6C58D6A5" w:rsidR="00066C81" w:rsidRDefault="002A0332" w:rsidP="00ED69E6">
            <w:r w:rsidRPr="002A0332">
              <w:t>School of Medical Sciences</w:t>
            </w:r>
          </w:p>
        </w:tc>
      </w:tr>
      <w:tr w:rsidR="003A7DAE" w14:paraId="1A47049C" w14:textId="77777777" w:rsidTr="0029160A">
        <w:tc>
          <w:tcPr>
            <w:tcW w:w="3256" w:type="dxa"/>
            <w:shd w:val="clear" w:color="auto" w:fill="F2F2F2" w:themeFill="background1" w:themeFillShade="F2"/>
          </w:tcPr>
          <w:p w14:paraId="7BD42367" w14:textId="77777777" w:rsidR="003A7DAE" w:rsidRDefault="003A7DAE" w:rsidP="00ED69E6">
            <w:pPr>
              <w:rPr>
                <w:b/>
              </w:rPr>
            </w:pPr>
            <w:r>
              <w:rPr>
                <w:b/>
              </w:rPr>
              <w:t xml:space="preserve">Email </w:t>
            </w:r>
          </w:p>
        </w:tc>
        <w:tc>
          <w:tcPr>
            <w:tcW w:w="5778" w:type="dxa"/>
          </w:tcPr>
          <w:p w14:paraId="4D06D5DB" w14:textId="19C80E00" w:rsidR="003A7DAE" w:rsidRDefault="00F62398" w:rsidP="00ED69E6">
            <w:hyperlink r:id="rId6" w:history="1">
              <w:r w:rsidR="002A0332" w:rsidRPr="006A2171">
                <w:rPr>
                  <w:rStyle w:val="Hyperlink"/>
                </w:rPr>
                <w:t>dc282@leicester.ac.uk</w:t>
              </w:r>
            </w:hyperlink>
            <w:r w:rsidR="002A0332">
              <w:t xml:space="preserve"> </w:t>
            </w:r>
          </w:p>
        </w:tc>
      </w:tr>
    </w:tbl>
    <w:p w14:paraId="3188842D" w14:textId="77777777" w:rsidR="00066C81" w:rsidRDefault="00066C81" w:rsidP="00066C81">
      <w:pPr>
        <w:spacing w:after="0" w:line="240" w:lineRule="auto"/>
      </w:pPr>
    </w:p>
    <w:tbl>
      <w:tblPr>
        <w:tblStyle w:val="TableGrid"/>
        <w:tblW w:w="9034" w:type="dxa"/>
        <w:tblLayout w:type="fixed"/>
        <w:tblLook w:val="04A0" w:firstRow="1" w:lastRow="0" w:firstColumn="1" w:lastColumn="0" w:noHBand="0" w:noVBand="1"/>
      </w:tblPr>
      <w:tblGrid>
        <w:gridCol w:w="3256"/>
        <w:gridCol w:w="5778"/>
      </w:tblGrid>
      <w:tr w:rsidR="00066C81" w14:paraId="48BAF998" w14:textId="77777777" w:rsidTr="00066C81">
        <w:tc>
          <w:tcPr>
            <w:tcW w:w="3256" w:type="dxa"/>
            <w:shd w:val="clear" w:color="auto" w:fill="F2F2F2" w:themeFill="background1" w:themeFillShade="F2"/>
          </w:tcPr>
          <w:p w14:paraId="5D439254" w14:textId="77777777" w:rsidR="00066C81" w:rsidRPr="00B11D52" w:rsidRDefault="00066C81" w:rsidP="00ED69E6">
            <w:pPr>
              <w:rPr>
                <w:b/>
              </w:rPr>
            </w:pPr>
            <w:r>
              <w:rPr>
                <w:b/>
              </w:rPr>
              <w:t>Additional Supervisor</w:t>
            </w:r>
          </w:p>
        </w:tc>
        <w:tc>
          <w:tcPr>
            <w:tcW w:w="5778" w:type="dxa"/>
          </w:tcPr>
          <w:p w14:paraId="7C582D01" w14:textId="296EA5D3" w:rsidR="00066C81" w:rsidRDefault="00EB6D36" w:rsidP="00ED69E6">
            <w:pPr>
              <w:rPr>
                <w:rFonts w:asciiTheme="minorHAnsi" w:hAnsiTheme="minorHAnsi" w:cstheme="minorHAnsi"/>
                <w:shd w:val="clear" w:color="auto" w:fill="FFFFFF"/>
              </w:rPr>
            </w:pPr>
            <w:r w:rsidRPr="00EB6D36">
              <w:t>Nicola Burgess-Brown</w:t>
            </w:r>
            <w:r>
              <w:t xml:space="preserve">, </w:t>
            </w:r>
            <w:r w:rsidRPr="00EB6D36">
              <w:rPr>
                <w:rFonts w:asciiTheme="minorHAnsi" w:hAnsiTheme="minorHAnsi" w:cstheme="minorHAnsi"/>
                <w:shd w:val="clear" w:color="auto" w:fill="FFFFFF"/>
              </w:rPr>
              <w:t>Structural Genomics Consortium</w:t>
            </w:r>
            <w:r w:rsidR="00F62398">
              <w:rPr>
                <w:rFonts w:asciiTheme="minorHAnsi" w:hAnsiTheme="minorHAnsi" w:cstheme="minorHAnsi"/>
                <w:shd w:val="clear" w:color="auto" w:fill="FFFFFF"/>
              </w:rPr>
              <w:t>.</w:t>
            </w:r>
          </w:p>
          <w:p w14:paraId="04519482" w14:textId="14DC4D65" w:rsidR="00B164BE" w:rsidRDefault="00B164BE" w:rsidP="00ED69E6">
            <w:r>
              <w:rPr>
                <w:rFonts w:asciiTheme="minorHAnsi" w:hAnsiTheme="minorHAnsi" w:cstheme="minorHAnsi"/>
                <w:shd w:val="clear" w:color="auto" w:fill="FFFFFF"/>
              </w:rPr>
              <w:t>Dr Michael Biddle, UK YCharOS lab lead and postdoctoral research associate at University of Leicester</w:t>
            </w:r>
            <w:r w:rsidR="00F62398">
              <w:rPr>
                <w:rFonts w:asciiTheme="minorHAnsi" w:hAnsiTheme="minorHAnsi" w:cstheme="minorHAnsi"/>
                <w:shd w:val="clear" w:color="auto" w:fill="FFFFFF"/>
              </w:rPr>
              <w:t>.</w:t>
            </w:r>
          </w:p>
        </w:tc>
      </w:tr>
    </w:tbl>
    <w:p w14:paraId="4806292A" w14:textId="17622CB6" w:rsidR="00066C81" w:rsidRDefault="00066C81" w:rsidP="00066C81">
      <w:pPr>
        <w:spacing w:after="0" w:line="240" w:lineRule="auto"/>
        <w:rPr>
          <w:b/>
          <w:u w:val="single"/>
        </w:rPr>
      </w:pPr>
    </w:p>
    <w:p w14:paraId="2C5A1045" w14:textId="5B8E47ED" w:rsidR="00EB6D36" w:rsidRPr="00EB6D36" w:rsidRDefault="00EB6D36" w:rsidP="00066C81">
      <w:pPr>
        <w:spacing w:after="0" w:line="240" w:lineRule="auto"/>
        <w:rPr>
          <w:rFonts w:asciiTheme="minorHAnsi" w:hAnsiTheme="minorHAnsi" w:cstheme="minorHAnsi"/>
          <w:shd w:val="clear" w:color="auto" w:fill="FFFFFF"/>
        </w:rPr>
      </w:pPr>
      <w:r w:rsidRPr="00C0141B">
        <w:rPr>
          <w:rFonts w:asciiTheme="minorHAnsi" w:hAnsiTheme="minorHAnsi" w:cstheme="minorHAnsi"/>
          <w:b/>
          <w:bCs/>
          <w:color w:val="auto"/>
          <w:shd w:val="clear" w:color="auto" w:fill="FFFFFF"/>
        </w:rPr>
        <w:t>Name of non-academic partner organisation:</w:t>
      </w:r>
      <w:r w:rsidRPr="00C0141B">
        <w:rPr>
          <w:rFonts w:asciiTheme="minorHAnsi" w:hAnsiTheme="minorHAnsi" w:cstheme="minorHAnsi"/>
          <w:color w:val="auto"/>
          <w:shd w:val="clear" w:color="auto" w:fill="FFFFFF"/>
        </w:rPr>
        <w:t xml:space="preserve">  </w:t>
      </w:r>
      <w:r w:rsidRPr="00EB6D36">
        <w:rPr>
          <w:rFonts w:asciiTheme="minorHAnsi" w:hAnsiTheme="minorHAnsi" w:cstheme="minorHAnsi"/>
          <w:shd w:val="clear" w:color="auto" w:fill="FFFFFF"/>
        </w:rPr>
        <w:t>Structural Genomics Consortium</w:t>
      </w:r>
      <w:r w:rsidRPr="00C0141B">
        <w:rPr>
          <w:rFonts w:asciiTheme="minorHAnsi" w:hAnsiTheme="minorHAnsi" w:cstheme="minorHAnsi"/>
          <w:shd w:val="clear" w:color="auto" w:fill="FFFFFF"/>
        </w:rPr>
        <w:t>,</w:t>
      </w:r>
      <w:r>
        <w:rPr>
          <w:rFonts w:asciiTheme="minorHAnsi" w:hAnsiTheme="minorHAnsi" w:cstheme="minorHAnsi"/>
          <w:shd w:val="clear" w:color="auto" w:fill="FFFFFF"/>
        </w:rPr>
        <w:t xml:space="preserve"> London</w:t>
      </w:r>
    </w:p>
    <w:p w14:paraId="211ADA4C" w14:textId="77777777" w:rsidR="00EB6D36" w:rsidRDefault="00EB6D36" w:rsidP="00066C81">
      <w:pPr>
        <w:spacing w:after="0" w:line="240" w:lineRule="auto"/>
        <w:rPr>
          <w:b/>
          <w:u w:val="single"/>
        </w:rPr>
      </w:pPr>
    </w:p>
    <w:p w14:paraId="2F660E25" w14:textId="77777777" w:rsidR="00066C81" w:rsidRPr="006B05B2" w:rsidRDefault="00066C81" w:rsidP="00066C81">
      <w:pPr>
        <w:spacing w:after="0" w:line="240" w:lineRule="auto"/>
        <w:rPr>
          <w:b/>
          <w:i/>
        </w:rPr>
      </w:pPr>
      <w:r w:rsidRPr="006B05B2">
        <w:rPr>
          <w:b/>
        </w:rPr>
        <w:t xml:space="preserve">Section 2 – </w:t>
      </w:r>
      <w:r w:rsidRPr="006B05B2">
        <w:rPr>
          <w:b/>
          <w:i/>
        </w:rPr>
        <w:t>Project Information</w:t>
      </w:r>
    </w:p>
    <w:tbl>
      <w:tblPr>
        <w:tblStyle w:val="TableGrid"/>
        <w:tblW w:w="0" w:type="auto"/>
        <w:tblLook w:val="04A0" w:firstRow="1" w:lastRow="0" w:firstColumn="1" w:lastColumn="0" w:noHBand="0" w:noVBand="1"/>
      </w:tblPr>
      <w:tblGrid>
        <w:gridCol w:w="1980"/>
        <w:gridCol w:w="7036"/>
      </w:tblGrid>
      <w:tr w:rsidR="00066C81" w14:paraId="6E42E9E7" w14:textId="77777777" w:rsidTr="00ED69E6">
        <w:tc>
          <w:tcPr>
            <w:tcW w:w="1980" w:type="dxa"/>
            <w:shd w:val="clear" w:color="auto" w:fill="F2F2F2" w:themeFill="background1" w:themeFillShade="F2"/>
          </w:tcPr>
          <w:p w14:paraId="79396BC4" w14:textId="77777777" w:rsidR="00066C81" w:rsidRDefault="00066C81" w:rsidP="00ED69E6">
            <w:pPr>
              <w:rPr>
                <w:b/>
              </w:rPr>
            </w:pPr>
            <w:r>
              <w:rPr>
                <w:b/>
              </w:rPr>
              <w:t>Project Title</w:t>
            </w:r>
          </w:p>
          <w:p w14:paraId="2AE8459A" w14:textId="77777777" w:rsidR="00066C81" w:rsidRPr="00B11D52" w:rsidRDefault="00066C81" w:rsidP="00ED69E6">
            <w:pPr>
              <w:rPr>
                <w:b/>
              </w:rPr>
            </w:pPr>
          </w:p>
        </w:tc>
        <w:tc>
          <w:tcPr>
            <w:tcW w:w="7036" w:type="dxa"/>
          </w:tcPr>
          <w:p w14:paraId="2BC2E11D" w14:textId="2886D924" w:rsidR="00066C81" w:rsidRDefault="00EB6D36" w:rsidP="00ED69E6">
            <w:r w:rsidRPr="00EB6D36">
              <w:t>Development of a toolbox to characterise the structural cell compartment of the human lung</w:t>
            </w:r>
          </w:p>
        </w:tc>
      </w:tr>
      <w:tr w:rsidR="00066C81" w14:paraId="4C9CB2BA" w14:textId="77777777" w:rsidTr="00ED69E6">
        <w:tc>
          <w:tcPr>
            <w:tcW w:w="9016" w:type="dxa"/>
            <w:gridSpan w:val="2"/>
            <w:shd w:val="clear" w:color="auto" w:fill="F2F2F2" w:themeFill="background1" w:themeFillShade="F2"/>
          </w:tcPr>
          <w:p w14:paraId="3D17942F" w14:textId="77777777" w:rsidR="00066C81" w:rsidRDefault="00066C81" w:rsidP="00066C81">
            <w:r w:rsidRPr="003A7DAE">
              <w:rPr>
                <w:b/>
                <w:highlight w:val="lightGray"/>
              </w:rPr>
              <w:t>Project Summary</w:t>
            </w:r>
            <w:r>
              <w:rPr>
                <w:b/>
              </w:rPr>
              <w:t xml:space="preserve"> </w:t>
            </w:r>
          </w:p>
        </w:tc>
      </w:tr>
      <w:tr w:rsidR="00066C81" w14:paraId="51FA071A" w14:textId="77777777" w:rsidTr="00ED69E6">
        <w:tc>
          <w:tcPr>
            <w:tcW w:w="9016" w:type="dxa"/>
            <w:gridSpan w:val="2"/>
          </w:tcPr>
          <w:p w14:paraId="6FABE4C1" w14:textId="72A0DC8A" w:rsidR="00EB6D36" w:rsidRPr="00EB6D36" w:rsidRDefault="00EB6D36" w:rsidP="00EB6D36">
            <w:pPr>
              <w:rPr>
                <w:bCs/>
              </w:rPr>
            </w:pPr>
            <w:r w:rsidRPr="00EB6D36">
              <w:rPr>
                <w:bCs/>
              </w:rPr>
              <w:t xml:space="preserve">Over the past three decades, breakthroughs in immunology have transformed how we understand and treat cancer and inflammatory diseases </w:t>
            </w:r>
            <w:r>
              <w:rPr>
                <w:bCs/>
              </w:rPr>
              <w:t xml:space="preserve">- </w:t>
            </w:r>
            <w:r w:rsidRPr="00EB6D36">
              <w:rPr>
                <w:bCs/>
              </w:rPr>
              <w:t>powered by reliable research tools that can pinpoint specific immune cell types. Fibroblasts, the cells that build and remodel connective tissues, are just as important in health and disease, but remain poorly understood because we lack robust protein markers to distinguish their many subtypes.</w:t>
            </w:r>
          </w:p>
          <w:p w14:paraId="3073AC03" w14:textId="22D2F979" w:rsidR="00EB6D36" w:rsidRPr="00EB6D36" w:rsidRDefault="00EB6D36" w:rsidP="00EB6D36">
            <w:pPr>
              <w:rPr>
                <w:bCs/>
              </w:rPr>
            </w:pPr>
            <w:r w:rsidRPr="00EB6D36">
              <w:rPr>
                <w:bCs/>
              </w:rPr>
              <w:t>In this PhD, you</w:t>
            </w:r>
            <w:r>
              <w:rPr>
                <w:bCs/>
              </w:rPr>
              <w:t>’</w:t>
            </w:r>
            <w:r w:rsidRPr="00EB6D36">
              <w:rPr>
                <w:bCs/>
              </w:rPr>
              <w:t>ll help close that gap. You</w:t>
            </w:r>
            <w:r>
              <w:rPr>
                <w:bCs/>
              </w:rPr>
              <w:t>’</w:t>
            </w:r>
            <w:r w:rsidRPr="00EB6D36">
              <w:rPr>
                <w:bCs/>
              </w:rPr>
              <w:t>ll be based in the UK</w:t>
            </w:r>
            <w:r>
              <w:rPr>
                <w:bCs/>
              </w:rPr>
              <w:t>’s</w:t>
            </w:r>
            <w:r w:rsidRPr="00EB6D36">
              <w:rPr>
                <w:bCs/>
              </w:rPr>
              <w:t xml:space="preserve"> only YCharOS laboratory, working with both academic and industry partners to develop high-quality antibodies for single-cell analysis</w:t>
            </w:r>
            <w:r>
              <w:rPr>
                <w:bCs/>
              </w:rPr>
              <w:t xml:space="preserve"> -</w:t>
            </w:r>
            <w:r w:rsidRPr="00EB6D36">
              <w:rPr>
                <w:bCs/>
              </w:rPr>
              <w:t xml:space="preserve"> essential tools for mapping fibroblast diversity.</w:t>
            </w:r>
          </w:p>
          <w:p w14:paraId="609AB825" w14:textId="31FF6B1F" w:rsidR="00EB6D36" w:rsidRPr="00EB6D36" w:rsidRDefault="00EB6D36" w:rsidP="00EB6D36">
            <w:pPr>
              <w:rPr>
                <w:bCs/>
              </w:rPr>
            </w:pPr>
            <w:r w:rsidRPr="00EB6D36">
              <w:rPr>
                <w:bCs/>
              </w:rPr>
              <w:t>You</w:t>
            </w:r>
            <w:r>
              <w:rPr>
                <w:bCs/>
              </w:rPr>
              <w:t>’</w:t>
            </w:r>
            <w:r w:rsidRPr="00EB6D36">
              <w:rPr>
                <w:bCs/>
              </w:rPr>
              <w:t>ll learn how to grow fibroblasts from healthy human lung tissue, use advanced proteomics to discover new cell-surface and secreted markers, and develop recombinant antibodies with the Structural Genomics Consortium. You</w:t>
            </w:r>
            <w:r>
              <w:rPr>
                <w:bCs/>
              </w:rPr>
              <w:t>’</w:t>
            </w:r>
            <w:r w:rsidRPr="00EB6D36">
              <w:rPr>
                <w:bCs/>
              </w:rPr>
              <w:t xml:space="preserve">ll then assemble ready-to-use panels for cutting-edge flow cytometry and </w:t>
            </w:r>
            <w:r>
              <w:rPr>
                <w:bCs/>
              </w:rPr>
              <w:t>“</w:t>
            </w:r>
            <w:r w:rsidRPr="00EB6D36">
              <w:rPr>
                <w:bCs/>
              </w:rPr>
              <w:t>barcoded</w:t>
            </w:r>
            <w:r>
              <w:rPr>
                <w:bCs/>
              </w:rPr>
              <w:t>”</w:t>
            </w:r>
            <w:r w:rsidRPr="00EB6D36">
              <w:rPr>
                <w:bCs/>
              </w:rPr>
              <w:t xml:space="preserve"> single-cell analysis, combining protein and RNA measurements in the same cells.</w:t>
            </w:r>
          </w:p>
          <w:p w14:paraId="2A97411A" w14:textId="77777777" w:rsidR="00EB6D36" w:rsidRPr="00EB6D36" w:rsidRDefault="00EB6D36" w:rsidP="00EB6D36">
            <w:pPr>
              <w:rPr>
                <w:bCs/>
              </w:rPr>
            </w:pPr>
            <w:r w:rsidRPr="00EB6D36">
              <w:rPr>
                <w:bCs/>
              </w:rPr>
              <w:t>By the end of your project, you will have:</w:t>
            </w:r>
          </w:p>
          <w:p w14:paraId="1FED17CC" w14:textId="77777777" w:rsidR="00EB6D36" w:rsidRDefault="00EB6D36" w:rsidP="00EB6D36">
            <w:pPr>
              <w:pStyle w:val="ListParagraph"/>
              <w:numPr>
                <w:ilvl w:val="0"/>
                <w:numId w:val="2"/>
              </w:numPr>
              <w:rPr>
                <w:bCs/>
              </w:rPr>
            </w:pPr>
            <w:r w:rsidRPr="00EB6D36">
              <w:rPr>
                <w:bCs/>
              </w:rPr>
              <w:t>Produced the first open-access, protein-level atlas of fibroblast diversity in healthy human lung</w:t>
            </w:r>
          </w:p>
          <w:p w14:paraId="743F430A" w14:textId="77777777" w:rsidR="00EB6D36" w:rsidRDefault="00EB6D36" w:rsidP="00EB6D36">
            <w:pPr>
              <w:pStyle w:val="ListParagraph"/>
              <w:numPr>
                <w:ilvl w:val="0"/>
                <w:numId w:val="2"/>
              </w:numPr>
              <w:rPr>
                <w:bCs/>
              </w:rPr>
            </w:pPr>
            <w:r w:rsidRPr="00EB6D36">
              <w:rPr>
                <w:bCs/>
              </w:rPr>
              <w:t>Created a reproducible antibody toolkit for fibroblast research, shared openly worldwide</w:t>
            </w:r>
          </w:p>
          <w:p w14:paraId="6B1019CA" w14:textId="77777777" w:rsidR="00EB6D36" w:rsidRDefault="00EB6D36" w:rsidP="00EB6D36">
            <w:pPr>
              <w:pStyle w:val="ListParagraph"/>
              <w:numPr>
                <w:ilvl w:val="0"/>
                <w:numId w:val="2"/>
              </w:numPr>
              <w:rPr>
                <w:bCs/>
              </w:rPr>
            </w:pPr>
            <w:r w:rsidRPr="00EB6D36">
              <w:rPr>
                <w:bCs/>
              </w:rPr>
              <w:t>Gained expertise in:</w:t>
            </w:r>
          </w:p>
          <w:p w14:paraId="199D3325" w14:textId="77777777" w:rsidR="00EB6D36" w:rsidRDefault="00EB6D36" w:rsidP="00EB6D36">
            <w:pPr>
              <w:pStyle w:val="ListParagraph"/>
              <w:numPr>
                <w:ilvl w:val="1"/>
                <w:numId w:val="2"/>
              </w:numPr>
              <w:rPr>
                <w:bCs/>
              </w:rPr>
            </w:pPr>
            <w:r w:rsidRPr="00EB6D36">
              <w:rPr>
                <w:bCs/>
              </w:rPr>
              <w:t>Primary cell culture from human tissue</w:t>
            </w:r>
          </w:p>
          <w:p w14:paraId="19FE2B49" w14:textId="77777777" w:rsidR="00EB6D36" w:rsidRDefault="00EB6D36" w:rsidP="00EB6D36">
            <w:pPr>
              <w:pStyle w:val="ListParagraph"/>
              <w:numPr>
                <w:ilvl w:val="1"/>
                <w:numId w:val="2"/>
              </w:numPr>
              <w:rPr>
                <w:bCs/>
              </w:rPr>
            </w:pPr>
            <w:r w:rsidRPr="00EB6D36">
              <w:rPr>
                <w:bCs/>
              </w:rPr>
              <w:t>Advanced proteomics and biomarker discovery</w:t>
            </w:r>
          </w:p>
          <w:p w14:paraId="05EA06F1" w14:textId="77777777" w:rsidR="00EB6D36" w:rsidRDefault="00EB6D36" w:rsidP="00EB6D36">
            <w:pPr>
              <w:pStyle w:val="ListParagraph"/>
              <w:numPr>
                <w:ilvl w:val="1"/>
                <w:numId w:val="2"/>
              </w:numPr>
              <w:rPr>
                <w:bCs/>
              </w:rPr>
            </w:pPr>
            <w:r w:rsidRPr="00EB6D36">
              <w:rPr>
                <w:bCs/>
              </w:rPr>
              <w:t>Antibody development and validation</w:t>
            </w:r>
          </w:p>
          <w:p w14:paraId="506197C1" w14:textId="77777777" w:rsidR="00EB6D36" w:rsidRDefault="00EB6D36" w:rsidP="00EB6D36">
            <w:pPr>
              <w:pStyle w:val="ListParagraph"/>
              <w:numPr>
                <w:ilvl w:val="1"/>
                <w:numId w:val="2"/>
              </w:numPr>
              <w:rPr>
                <w:bCs/>
              </w:rPr>
            </w:pPr>
            <w:r w:rsidRPr="00EB6D36">
              <w:rPr>
                <w:bCs/>
              </w:rPr>
              <w:t>High-parameter flow cytometry and single-cell transcriptomics</w:t>
            </w:r>
          </w:p>
          <w:p w14:paraId="3366D679" w14:textId="747CE92A" w:rsidR="00EB6D36" w:rsidRPr="00EB6D36" w:rsidRDefault="00EB6D36" w:rsidP="00EB6D36">
            <w:pPr>
              <w:pStyle w:val="ListParagraph"/>
              <w:numPr>
                <w:ilvl w:val="1"/>
                <w:numId w:val="2"/>
              </w:numPr>
              <w:rPr>
                <w:bCs/>
              </w:rPr>
            </w:pPr>
            <w:r w:rsidRPr="00EB6D36">
              <w:rPr>
                <w:bCs/>
              </w:rPr>
              <w:t>Working within a unique academic</w:t>
            </w:r>
            <w:r w:rsidR="00437B47">
              <w:rPr>
                <w:bCs/>
              </w:rPr>
              <w:t>-</w:t>
            </w:r>
            <w:r w:rsidRPr="00EB6D36">
              <w:rPr>
                <w:bCs/>
              </w:rPr>
              <w:t>industry open science collaboration</w:t>
            </w:r>
          </w:p>
          <w:p w14:paraId="06259BC6" w14:textId="0B3E9CF4" w:rsidR="00066C81" w:rsidRPr="00EB6D36" w:rsidRDefault="00EB6D36" w:rsidP="00EB6D36">
            <w:pPr>
              <w:rPr>
                <w:bCs/>
              </w:rPr>
            </w:pPr>
            <w:r w:rsidRPr="00EB6D36">
              <w:rPr>
                <w:bCs/>
              </w:rPr>
              <w:t>The tools and datasets you generate will enable fibroblast research to achieve the same level of precision that has already transformed immunology.</w:t>
            </w:r>
          </w:p>
          <w:p w14:paraId="52EFBB87" w14:textId="0B409C5D" w:rsidR="001218DF" w:rsidRDefault="001218DF" w:rsidP="00437B47">
            <w:pPr>
              <w:rPr>
                <w:b/>
              </w:rPr>
            </w:pPr>
          </w:p>
        </w:tc>
      </w:tr>
      <w:tr w:rsidR="003A7DAE" w14:paraId="703CFC4C" w14:textId="77777777" w:rsidTr="001C1AF7">
        <w:tc>
          <w:tcPr>
            <w:tcW w:w="9016" w:type="dxa"/>
            <w:gridSpan w:val="2"/>
            <w:shd w:val="clear" w:color="auto" w:fill="F2F2F2" w:themeFill="background1" w:themeFillShade="F2"/>
          </w:tcPr>
          <w:p w14:paraId="40B4B97E" w14:textId="39FA6C4F" w:rsidR="003A7DAE" w:rsidRDefault="003A7DAE" w:rsidP="001C1AF7">
            <w:r>
              <w:rPr>
                <w:b/>
              </w:rPr>
              <w:t>References</w:t>
            </w:r>
          </w:p>
        </w:tc>
      </w:tr>
      <w:tr w:rsidR="003A7DAE" w14:paraId="6D3114C6" w14:textId="77777777" w:rsidTr="00ED69E6">
        <w:tc>
          <w:tcPr>
            <w:tcW w:w="9016" w:type="dxa"/>
            <w:gridSpan w:val="2"/>
          </w:tcPr>
          <w:p w14:paraId="17804839" w14:textId="77777777" w:rsidR="003A7DAE" w:rsidRDefault="003A7DAE" w:rsidP="00ED69E6">
            <w:pPr>
              <w:rPr>
                <w:b/>
              </w:rPr>
            </w:pPr>
          </w:p>
          <w:p w14:paraId="7B9A96D4" w14:textId="77777777" w:rsidR="003A7DAE" w:rsidRDefault="003A7DAE" w:rsidP="00ED69E6">
            <w:pPr>
              <w:rPr>
                <w:b/>
              </w:rPr>
            </w:pPr>
          </w:p>
          <w:p w14:paraId="26779BDF" w14:textId="77777777" w:rsidR="003A7DAE" w:rsidRDefault="003A7DAE" w:rsidP="00ED69E6">
            <w:pPr>
              <w:rPr>
                <w:b/>
              </w:rPr>
            </w:pPr>
          </w:p>
          <w:p w14:paraId="7D2CFDBB" w14:textId="77777777" w:rsidR="003A7DAE" w:rsidRDefault="003A7DAE" w:rsidP="00ED69E6">
            <w:pPr>
              <w:rPr>
                <w:b/>
              </w:rPr>
            </w:pPr>
          </w:p>
          <w:p w14:paraId="4CC99A4B" w14:textId="55A384DD" w:rsidR="003A7DAE" w:rsidRDefault="003A7DAE" w:rsidP="00ED69E6">
            <w:pPr>
              <w:rPr>
                <w:b/>
              </w:rPr>
            </w:pPr>
          </w:p>
        </w:tc>
      </w:tr>
    </w:tbl>
    <w:p w14:paraId="7FEF6135" w14:textId="77777777" w:rsidR="00066C81" w:rsidRDefault="00066C81" w:rsidP="00066C81">
      <w:pPr>
        <w:spacing w:after="0" w:line="240" w:lineRule="auto"/>
        <w:rPr>
          <w:b/>
          <w:u w:val="single"/>
        </w:rPr>
      </w:pPr>
    </w:p>
    <w:p w14:paraId="1D713C9F" w14:textId="77777777" w:rsidR="00066C81" w:rsidRPr="00BD5F21" w:rsidRDefault="00066C81" w:rsidP="00066C81">
      <w:pPr>
        <w:spacing w:after="0" w:line="240" w:lineRule="auto"/>
        <w:rPr>
          <w:b/>
          <w:bCs/>
        </w:rPr>
      </w:pPr>
    </w:p>
    <w:sectPr w:rsidR="00066C81" w:rsidRPr="00BD5F21" w:rsidSect="00477FE3">
      <w:pgSz w:w="11906" w:h="16838"/>
      <w:pgMar w:top="1276" w:right="1135" w:bottom="709" w:left="1133" w:header="720" w:footer="88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10D40"/>
    <w:multiLevelType w:val="hybridMultilevel"/>
    <w:tmpl w:val="0F0A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4A4FF3"/>
    <w:multiLevelType w:val="hybridMultilevel"/>
    <w:tmpl w:val="ABEAD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81"/>
    <w:rsid w:val="00066C81"/>
    <w:rsid w:val="000D3D42"/>
    <w:rsid w:val="001218DF"/>
    <w:rsid w:val="00203CDE"/>
    <w:rsid w:val="00281127"/>
    <w:rsid w:val="002A0332"/>
    <w:rsid w:val="003A7DAE"/>
    <w:rsid w:val="00424DE3"/>
    <w:rsid w:val="00437B47"/>
    <w:rsid w:val="006F46FB"/>
    <w:rsid w:val="007151A1"/>
    <w:rsid w:val="009C47A8"/>
    <w:rsid w:val="00A904FB"/>
    <w:rsid w:val="00AE49DF"/>
    <w:rsid w:val="00B164BE"/>
    <w:rsid w:val="00BB70D0"/>
    <w:rsid w:val="00BD5F21"/>
    <w:rsid w:val="00DE6413"/>
    <w:rsid w:val="00EB6D36"/>
    <w:rsid w:val="00F038B2"/>
    <w:rsid w:val="00F21AEA"/>
    <w:rsid w:val="00F62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4C236"/>
  <w15:chartTrackingRefBased/>
  <w15:docId w15:val="{87EC11FF-9B23-4746-AD2B-2639FE3C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81"/>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49DF"/>
    <w:pPr>
      <w:ind w:left="720"/>
      <w:contextualSpacing/>
    </w:pPr>
  </w:style>
  <w:style w:type="character" w:styleId="Hyperlink">
    <w:name w:val="Hyperlink"/>
    <w:basedOn w:val="DefaultParagraphFont"/>
    <w:uiPriority w:val="99"/>
    <w:unhideWhenUsed/>
    <w:rsid w:val="00AE49DF"/>
    <w:rPr>
      <w:color w:val="0563C1" w:themeColor="hyperlink"/>
      <w:u w:val="single"/>
    </w:rPr>
  </w:style>
  <w:style w:type="character" w:styleId="UnresolvedMention">
    <w:name w:val="Unresolved Mention"/>
    <w:basedOn w:val="DefaultParagraphFont"/>
    <w:uiPriority w:val="99"/>
    <w:semiHidden/>
    <w:unhideWhenUsed/>
    <w:rsid w:val="00AE4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282@leicester.ac.uk" TargetMode="External"/><Relationship Id="rId5" Type="http://schemas.openxmlformats.org/officeDocument/2006/relationships/hyperlink" Target="mailto:hsv6@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White</dc:creator>
  <cp:keywords/>
  <dc:description/>
  <cp:lastModifiedBy>Finch, Lisa A.</cp:lastModifiedBy>
  <cp:revision>3</cp:revision>
  <dcterms:created xsi:type="dcterms:W3CDTF">2025-10-15T09:15:00Z</dcterms:created>
  <dcterms:modified xsi:type="dcterms:W3CDTF">2025-10-15T09:15:00Z</dcterms:modified>
</cp:coreProperties>
</file>