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08E8280D" w:rsidR="00066C81" w:rsidRPr="00066C81" w:rsidRDefault="00C0141B" w:rsidP="00066C81">
            <w:r>
              <w:t xml:space="preserve">Dr </w:t>
            </w:r>
            <w:r w:rsidRPr="00C0141B">
              <w:t>Natalie Garton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348449CE" w:rsidR="00066C81" w:rsidRPr="00066C81" w:rsidRDefault="00C0141B" w:rsidP="00066C81">
            <w:r w:rsidRPr="00C0141B">
              <w:t>School of Biological and Biomedical Sciences, Division of Microbiology and Infection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59345C7D" w14:textId="77777777" w:rsidR="007151A1" w:rsidRDefault="00447D3B" w:rsidP="00066C81">
            <w:hyperlink r:id="rId5" w:history="1">
              <w:r w:rsidR="00C0141B" w:rsidRPr="006A2171">
                <w:rPr>
                  <w:rStyle w:val="Hyperlink"/>
                </w:rPr>
                <w:t>njg17@leicester.ac.uk</w:t>
              </w:r>
            </w:hyperlink>
            <w:r w:rsidR="00C0141B">
              <w:t xml:space="preserve"> </w:t>
            </w:r>
          </w:p>
          <w:p w14:paraId="28BF855B" w14:textId="30C7ECB1" w:rsidR="00C0141B" w:rsidRPr="00066C81" w:rsidRDefault="00447D3B" w:rsidP="00066C81">
            <w:hyperlink r:id="rId6" w:history="1">
              <w:r w:rsidR="00C0141B" w:rsidRPr="006A2171">
                <w:rPr>
                  <w:rStyle w:val="Hyperlink"/>
                </w:rPr>
                <w:t>https://le.ac.uk/people/natalie-garton</w:t>
              </w:r>
            </w:hyperlink>
            <w:r w:rsidR="00C0141B"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1D17B5D2" w:rsidR="00066C81" w:rsidRDefault="00C0141B" w:rsidP="00ED69E6">
            <w:r>
              <w:t xml:space="preserve">Professor </w:t>
            </w:r>
            <w:r w:rsidRPr="00C0141B">
              <w:t>Galina Mukamolova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1D41A576" w:rsidR="00066C81" w:rsidRDefault="00C0141B" w:rsidP="00ED69E6">
            <w:r w:rsidRPr="00C0141B">
              <w:t>School of Biological and Biomedical Sciences, Division of Microbiology and Infection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2F068210" w:rsidR="003A7DAE" w:rsidRDefault="00447D3B" w:rsidP="00ED69E6">
            <w:hyperlink r:id="rId7" w:history="1">
              <w:r w:rsidR="00C0141B" w:rsidRPr="006A2171">
                <w:rPr>
                  <w:rStyle w:val="Hyperlink"/>
                </w:rPr>
                <w:t>gvm4@leicester.ac.uk</w:t>
              </w:r>
            </w:hyperlink>
            <w:r w:rsidR="00C0141B"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6C616F21" w:rsidR="00066C81" w:rsidRDefault="00C0141B" w:rsidP="00ED69E6">
            <w:r>
              <w:t xml:space="preserve">Dr </w:t>
            </w:r>
            <w:r w:rsidRPr="00C0141B">
              <w:t xml:space="preserve">Magdalena </w:t>
            </w:r>
            <w:proofErr w:type="spellStart"/>
            <w:r w:rsidRPr="00C0141B">
              <w:t>Karlikowska</w:t>
            </w:r>
            <w:proofErr w:type="spellEnd"/>
            <w:r>
              <w:t xml:space="preserve">, </w:t>
            </w:r>
            <w:proofErr w:type="spellStart"/>
            <w:r w:rsidRPr="00C0141B">
              <w:t>Cytecom</w:t>
            </w:r>
            <w:proofErr w:type="spellEnd"/>
          </w:p>
        </w:tc>
      </w:tr>
    </w:tbl>
    <w:p w14:paraId="4806292A" w14:textId="500D968F" w:rsidR="00066C81" w:rsidRDefault="00066C81" w:rsidP="00066C81">
      <w:pPr>
        <w:spacing w:after="0" w:line="240" w:lineRule="auto"/>
        <w:rPr>
          <w:b/>
          <w:u w:val="single"/>
        </w:rPr>
      </w:pPr>
    </w:p>
    <w:p w14:paraId="0D792F28" w14:textId="561278DE" w:rsidR="00C0141B" w:rsidRPr="00C0141B" w:rsidRDefault="00C0141B" w:rsidP="00C0141B">
      <w:pPr>
        <w:spacing w:after="0" w:line="240" w:lineRule="auto"/>
        <w:rPr>
          <w:rFonts w:asciiTheme="minorHAnsi" w:hAnsiTheme="minorHAnsi" w:cstheme="minorHAnsi"/>
          <w:shd w:val="clear" w:color="auto" w:fill="FFFFFF"/>
        </w:rPr>
      </w:pPr>
      <w:r w:rsidRPr="00C0141B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Name of non-academic partner organisation:</w:t>
      </w:r>
      <w:r w:rsidRPr="00C0141B">
        <w:rPr>
          <w:rFonts w:asciiTheme="minorHAnsi" w:hAnsiTheme="minorHAnsi" w:cstheme="minorHAnsi"/>
          <w:color w:val="auto"/>
          <w:shd w:val="clear" w:color="auto" w:fill="FFFFFF"/>
        </w:rPr>
        <w:t xml:space="preserve">  </w:t>
      </w:r>
      <w:proofErr w:type="spellStart"/>
      <w:r w:rsidRPr="00C0141B">
        <w:rPr>
          <w:rFonts w:asciiTheme="minorHAnsi" w:hAnsiTheme="minorHAnsi" w:cstheme="minorHAnsi"/>
          <w:shd w:val="clear" w:color="auto" w:fill="FFFFFF"/>
        </w:rPr>
        <w:t>Cytecom</w:t>
      </w:r>
      <w:proofErr w:type="spellEnd"/>
      <w:r w:rsidRPr="00C0141B">
        <w:rPr>
          <w:rFonts w:asciiTheme="minorHAnsi" w:hAnsiTheme="minorHAnsi" w:cstheme="minorHAnsi"/>
          <w:shd w:val="clear" w:color="auto" w:fill="FFFFFF"/>
        </w:rPr>
        <w:t xml:space="preserve"> Ltd,</w:t>
      </w:r>
      <w:r>
        <w:rPr>
          <w:rFonts w:asciiTheme="minorHAnsi" w:hAnsiTheme="minorHAnsi" w:cstheme="minorHAnsi"/>
          <w:shd w:val="clear" w:color="auto" w:fill="FFFFFF"/>
        </w:rPr>
        <w:t xml:space="preserve"> Coventry</w:t>
      </w:r>
    </w:p>
    <w:p w14:paraId="2668B4AA" w14:textId="77777777" w:rsidR="00C0141B" w:rsidRDefault="00C0141B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7808B66C" w:rsidR="00066C81" w:rsidRDefault="00C0141B" w:rsidP="00ED69E6">
            <w:r w:rsidRPr="00C0141B">
              <w:t>Rapid Characterisation of Mycobacterial Populations Using Bacterial Electrophysiology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24DD3551" w14:textId="18DFE5EC" w:rsidR="00C0141B" w:rsidRDefault="00C0141B" w:rsidP="00C0141B">
            <w:pPr>
              <w:rPr>
                <w:bCs/>
              </w:rPr>
            </w:pPr>
            <w:proofErr w:type="spellStart"/>
            <w:r w:rsidRPr="00C0141B">
              <w:rPr>
                <w:bCs/>
              </w:rPr>
              <w:t>Persisters</w:t>
            </w:r>
            <w:proofErr w:type="spellEnd"/>
            <w:r w:rsidRPr="00C0141B">
              <w:rPr>
                <w:bCs/>
              </w:rPr>
              <w:t xml:space="preserve"> are phenotypically distinct bacterial subpopulations tolerant to antibiotics.  Slow, or non-growing, with low metabolic activity, </w:t>
            </w:r>
            <w:proofErr w:type="spellStart"/>
            <w:r w:rsidRPr="00C0141B">
              <w:rPr>
                <w:bCs/>
              </w:rPr>
              <w:t>persisters</w:t>
            </w:r>
            <w:proofErr w:type="spellEnd"/>
            <w:r w:rsidRPr="00C0141B">
              <w:rPr>
                <w:bCs/>
              </w:rPr>
              <w:t xml:space="preserve"> are responsible for prolonged and recurrent infections. Mechanisms of </w:t>
            </w:r>
            <w:proofErr w:type="spellStart"/>
            <w:r w:rsidRPr="00C0141B">
              <w:rPr>
                <w:bCs/>
              </w:rPr>
              <w:t>persister</w:t>
            </w:r>
            <w:proofErr w:type="spellEnd"/>
            <w:r w:rsidRPr="00C0141B">
              <w:rPr>
                <w:bCs/>
              </w:rPr>
              <w:t xml:space="preserve"> formation, survival and reactivation are not well understood and their enumeration is challenging. Mycobacterium tuberculosis (</w:t>
            </w:r>
            <w:proofErr w:type="spellStart"/>
            <w:r w:rsidRPr="00C0141B">
              <w:rPr>
                <w:bCs/>
              </w:rPr>
              <w:t>Mtb</w:t>
            </w:r>
            <w:proofErr w:type="spellEnd"/>
            <w:r w:rsidRPr="00C0141B">
              <w:rPr>
                <w:bCs/>
              </w:rPr>
              <w:t xml:space="preserve">) </w:t>
            </w:r>
            <w:proofErr w:type="spellStart"/>
            <w:r w:rsidRPr="00C0141B">
              <w:rPr>
                <w:bCs/>
              </w:rPr>
              <w:t>persisters</w:t>
            </w:r>
            <w:proofErr w:type="spellEnd"/>
            <w:r w:rsidRPr="00C0141B">
              <w:rPr>
                <w:bCs/>
              </w:rPr>
              <w:t xml:space="preserve"> make treatment of tuberculosis (TB) long and complex, increasing relapse risk. </w:t>
            </w:r>
            <w:proofErr w:type="spellStart"/>
            <w:r w:rsidRPr="00C0141B">
              <w:rPr>
                <w:bCs/>
              </w:rPr>
              <w:t>Mtb</w:t>
            </w:r>
            <w:proofErr w:type="spellEnd"/>
            <w:r w:rsidRPr="00C0141B">
              <w:rPr>
                <w:bCs/>
              </w:rPr>
              <w:t xml:space="preserve"> </w:t>
            </w:r>
            <w:proofErr w:type="spellStart"/>
            <w:r w:rsidRPr="00C0141B">
              <w:rPr>
                <w:bCs/>
              </w:rPr>
              <w:t>persisters</w:t>
            </w:r>
            <w:proofErr w:type="spellEnd"/>
            <w:r w:rsidRPr="00C0141B">
              <w:rPr>
                <w:bCs/>
              </w:rPr>
              <w:t xml:space="preserve"> have phenotypes, such as lipid accumulation, or failure to grow in routine culture (differentially culturable). Current methods to detect these populations are challenging taking up to 12 weeks.</w:t>
            </w:r>
          </w:p>
          <w:p w14:paraId="60845E02" w14:textId="77777777" w:rsidR="00C0141B" w:rsidRPr="00C0141B" w:rsidRDefault="00C0141B" w:rsidP="00C0141B">
            <w:pPr>
              <w:rPr>
                <w:bCs/>
              </w:rPr>
            </w:pPr>
          </w:p>
          <w:p w14:paraId="555323D0" w14:textId="3C181953" w:rsidR="00C0141B" w:rsidRDefault="00C0141B" w:rsidP="00C0141B">
            <w:pPr>
              <w:rPr>
                <w:bCs/>
              </w:rPr>
            </w:pPr>
            <w:r w:rsidRPr="00C0141B">
              <w:rPr>
                <w:bCs/>
              </w:rPr>
              <w:t xml:space="preserve">Bacteria generate electrical charge difference across their membranes, known as membrane potential (MP), powering essential processes like growth and division. When stimulated electrically, bacteria respond in predictable ways: proliferating cells increase their MP, while dead or dying cells lose it. These electrodynamic responses can be detected using MP-dependent fluorophores. </w:t>
            </w:r>
            <w:proofErr w:type="spellStart"/>
            <w:r w:rsidRPr="00C0141B">
              <w:rPr>
                <w:bCs/>
              </w:rPr>
              <w:t>Cytecom</w:t>
            </w:r>
            <w:proofErr w:type="spellEnd"/>
            <w:r w:rsidRPr="00C0141B">
              <w:rPr>
                <w:bCs/>
              </w:rPr>
              <w:t xml:space="preserve"> has developed instruments that use this approach to assess bacterial vitality within minutes, eliminating the need for lengthy culture-based methods, and are advancing this for antimicrobial susceptibility testing.</w:t>
            </w:r>
          </w:p>
          <w:p w14:paraId="039056E7" w14:textId="77777777" w:rsidR="00C0141B" w:rsidRPr="00C0141B" w:rsidRDefault="00C0141B" w:rsidP="00C0141B">
            <w:pPr>
              <w:rPr>
                <w:bCs/>
              </w:rPr>
            </w:pPr>
          </w:p>
          <w:p w14:paraId="7191D606" w14:textId="33463442" w:rsidR="00C0141B" w:rsidRDefault="00C0141B" w:rsidP="00C0141B">
            <w:pPr>
              <w:rPr>
                <w:bCs/>
              </w:rPr>
            </w:pPr>
            <w:r w:rsidRPr="00C0141B">
              <w:rPr>
                <w:bCs/>
              </w:rPr>
              <w:t xml:space="preserve">Aim: To understand how electrophysiology could inform characterisation of mycobacterial sub-populations, including </w:t>
            </w:r>
            <w:proofErr w:type="spellStart"/>
            <w:r w:rsidRPr="00C0141B">
              <w:rPr>
                <w:bCs/>
              </w:rPr>
              <w:t>persisters</w:t>
            </w:r>
            <w:proofErr w:type="spellEnd"/>
            <w:r w:rsidRPr="00C0141B">
              <w:rPr>
                <w:bCs/>
              </w:rPr>
              <w:t>, and impact of these on responses to antimycobacterial agents.</w:t>
            </w:r>
          </w:p>
          <w:p w14:paraId="274FA9DF" w14:textId="77777777" w:rsidR="00C0141B" w:rsidRPr="00C0141B" w:rsidRDefault="00C0141B" w:rsidP="00C0141B">
            <w:pPr>
              <w:rPr>
                <w:bCs/>
              </w:rPr>
            </w:pPr>
          </w:p>
          <w:p w14:paraId="081DFC1E" w14:textId="36348BB1" w:rsidR="00C0141B" w:rsidRPr="00C0141B" w:rsidRDefault="00C0141B" w:rsidP="00C0141B">
            <w:pPr>
              <w:rPr>
                <w:bCs/>
              </w:rPr>
            </w:pPr>
            <w:r w:rsidRPr="00C0141B">
              <w:rPr>
                <w:bCs/>
              </w:rPr>
              <w:t>Objectives:</w:t>
            </w:r>
          </w:p>
          <w:p w14:paraId="7F43FB59" w14:textId="77777777" w:rsidR="00C0141B" w:rsidRPr="00C0141B" w:rsidRDefault="00C0141B" w:rsidP="00C0141B">
            <w:pPr>
              <w:rPr>
                <w:bCs/>
              </w:rPr>
            </w:pPr>
            <w:r w:rsidRPr="00C0141B">
              <w:rPr>
                <w:bCs/>
              </w:rPr>
              <w:t>Optimise optical electrophysiology methods for testing mycobacteria.</w:t>
            </w:r>
          </w:p>
          <w:p w14:paraId="6E0E86F5" w14:textId="77777777" w:rsidR="00C0141B" w:rsidRPr="00C0141B" w:rsidRDefault="00C0141B" w:rsidP="00C0141B">
            <w:pPr>
              <w:rPr>
                <w:bCs/>
              </w:rPr>
            </w:pPr>
            <w:r w:rsidRPr="00C0141B">
              <w:rPr>
                <w:bCs/>
              </w:rPr>
              <w:t>Develop data analysis pipelines to assess the proliferative potential of mycobacterial subpopulations.</w:t>
            </w:r>
          </w:p>
          <w:p w14:paraId="3E5C5F10" w14:textId="015DB0AB" w:rsidR="00C0141B" w:rsidRDefault="00C0141B" w:rsidP="00C0141B">
            <w:pPr>
              <w:rPr>
                <w:bCs/>
              </w:rPr>
            </w:pPr>
            <w:r w:rsidRPr="00C0141B">
              <w:rPr>
                <w:bCs/>
              </w:rPr>
              <w:t xml:space="preserve">Culture mycobacteria, including </w:t>
            </w:r>
            <w:proofErr w:type="spellStart"/>
            <w:r w:rsidRPr="00C0141B">
              <w:rPr>
                <w:bCs/>
              </w:rPr>
              <w:t>Mtb</w:t>
            </w:r>
            <w:proofErr w:type="spellEnd"/>
            <w:r w:rsidRPr="00C0141B">
              <w:rPr>
                <w:bCs/>
              </w:rPr>
              <w:t xml:space="preserve">, to promote </w:t>
            </w:r>
            <w:proofErr w:type="spellStart"/>
            <w:r w:rsidRPr="00C0141B">
              <w:rPr>
                <w:bCs/>
              </w:rPr>
              <w:t>persister</w:t>
            </w:r>
            <w:proofErr w:type="spellEnd"/>
            <w:r w:rsidRPr="00C0141B">
              <w:rPr>
                <w:bCs/>
              </w:rPr>
              <w:t xml:space="preserve">-like phenotypes and characterise them by electrophysiology, </w:t>
            </w:r>
            <w:proofErr w:type="spellStart"/>
            <w:r w:rsidRPr="00C0141B">
              <w:rPr>
                <w:bCs/>
              </w:rPr>
              <w:t>culturability</w:t>
            </w:r>
            <w:proofErr w:type="spellEnd"/>
            <w:r w:rsidRPr="00C0141B">
              <w:rPr>
                <w:bCs/>
              </w:rPr>
              <w:t>, lipid content and antibacterial susceptibility.</w:t>
            </w:r>
          </w:p>
          <w:p w14:paraId="024F3238" w14:textId="77777777" w:rsidR="00C0141B" w:rsidRPr="00C0141B" w:rsidRDefault="00C0141B" w:rsidP="00C0141B">
            <w:pPr>
              <w:rPr>
                <w:bCs/>
              </w:rPr>
            </w:pPr>
          </w:p>
          <w:p w14:paraId="06259BC6" w14:textId="78B7BE9A" w:rsidR="00066C81" w:rsidRPr="00C0141B" w:rsidRDefault="00C0141B" w:rsidP="00C0141B">
            <w:pPr>
              <w:rPr>
                <w:bCs/>
              </w:rPr>
            </w:pPr>
            <w:r w:rsidRPr="00C0141B">
              <w:rPr>
                <w:bCs/>
              </w:rPr>
              <w:t xml:space="preserve">This project will deliver faster tools to study </w:t>
            </w:r>
            <w:proofErr w:type="spellStart"/>
            <w:r w:rsidRPr="00C0141B">
              <w:rPr>
                <w:bCs/>
              </w:rPr>
              <w:t>Mtb</w:t>
            </w:r>
            <w:proofErr w:type="spellEnd"/>
            <w:r w:rsidRPr="00C0141B">
              <w:rPr>
                <w:bCs/>
              </w:rPr>
              <w:t xml:space="preserve"> </w:t>
            </w:r>
            <w:proofErr w:type="spellStart"/>
            <w:r w:rsidRPr="00C0141B">
              <w:rPr>
                <w:bCs/>
              </w:rPr>
              <w:t>persisters</w:t>
            </w:r>
            <w:proofErr w:type="spellEnd"/>
            <w:r w:rsidRPr="00C0141B">
              <w:rPr>
                <w:bCs/>
              </w:rPr>
              <w:t>, supporting drug development and improving treatment of TB, the infectious disease with highest global mortality.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52EFBB87" w14:textId="0B409C5D" w:rsidR="001218DF" w:rsidRDefault="001218DF" w:rsidP="00447D3B">
            <w:pPr>
              <w:rPr>
                <w:b/>
              </w:rPr>
            </w:pP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0C7F338D" w14:textId="77777777" w:rsidR="00447D3B" w:rsidRDefault="00447D3B" w:rsidP="00447D3B">
            <w:pPr>
              <w:pStyle w:val="NormalWeb"/>
              <w:spacing w:line="360" w:lineRule="auto"/>
            </w:pPr>
            <w:r>
              <w:lastRenderedPageBreak/>
              <w:t xml:space="preserve">Stratford, J.P., Edwards, C.L.A., Ghanshyam, M.J., Malyshev, D., </w:t>
            </w:r>
            <w:proofErr w:type="spellStart"/>
            <w:r>
              <w:t>Delise</w:t>
            </w:r>
            <w:proofErr w:type="spellEnd"/>
            <w:r>
              <w:t xml:space="preserve">, M.A., Hayashi, Y. and </w:t>
            </w:r>
            <w:proofErr w:type="spellStart"/>
            <w:r>
              <w:t>Asally</w:t>
            </w:r>
            <w:proofErr w:type="spellEnd"/>
            <w:r>
              <w:t xml:space="preserve">, M. (2019) 'Electrically induced bacterial membrane-potential dynamics correspond to cellular proliferation capacity', </w:t>
            </w:r>
            <w:r>
              <w:rPr>
                <w:i/>
                <w:iCs/>
              </w:rPr>
              <w:t xml:space="preserve">Proceedings of the National Academy of Sciences - PNAS, </w:t>
            </w:r>
            <w:r>
              <w:t xml:space="preserve">116(19), pp. 9552-9557 Available at: </w:t>
            </w:r>
            <w:hyperlink r:id="rId8" w:tgtFrame="_blank" w:history="1">
              <w:r>
                <w:rPr>
                  <w:rStyle w:val="Hyperlink"/>
                </w:rPr>
                <w:t>https://doi.org/10.1073/pnas.1901788116.</w:t>
              </w:r>
            </w:hyperlink>
          </w:p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879E2"/>
    <w:rsid w:val="000D3D42"/>
    <w:rsid w:val="001218DF"/>
    <w:rsid w:val="00203CDE"/>
    <w:rsid w:val="00281127"/>
    <w:rsid w:val="003A7DAE"/>
    <w:rsid w:val="00447D3B"/>
    <w:rsid w:val="006F46FB"/>
    <w:rsid w:val="007151A1"/>
    <w:rsid w:val="009C47A8"/>
    <w:rsid w:val="00A904FB"/>
    <w:rsid w:val="00AE49DF"/>
    <w:rsid w:val="00BB70D0"/>
    <w:rsid w:val="00BD5F21"/>
    <w:rsid w:val="00C0141B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7D3B"/>
    <w:pPr>
      <w:spacing w:before="100" w:beforeAutospacing="1" w:after="100" w:afterAutospacing="1" w:line="240" w:lineRule="auto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doi.org%2F10.1073%2Fpnas.1901788116.&amp;data=05%7C02%7Cmibtp-admin%40leicester.ac.uk%7C42655a03e5d64cfb4a1508de0a9a96e3%7Caebecd6a31d44b0195ce8274afe853d9%7C0%7C0%7C638959856507276853%7CUnknown%7CTWFpbGZsb3d8eyJFbXB0eU1hcGkiOnRydWUsIlYiOiIwLjAuMDAwMCIsIlAiOiJXaW4zMiIsIkFOIjoiTWFpbCIsIldUIjoyfQ%3D%3D%7C0%7C%7C%7C&amp;sdata=LrnIB9jCACEKx2GOECVoOof7fvUZUwACkdY2cSomTBA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vm4@leic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natalie-garton" TargetMode="External"/><Relationship Id="rId5" Type="http://schemas.openxmlformats.org/officeDocument/2006/relationships/hyperlink" Target="mailto:njg17@leicester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2</cp:revision>
  <dcterms:created xsi:type="dcterms:W3CDTF">2025-10-14T08:27:00Z</dcterms:created>
  <dcterms:modified xsi:type="dcterms:W3CDTF">2025-10-14T08:27:00Z</dcterms:modified>
</cp:coreProperties>
</file>