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596D" w14:textId="77777777" w:rsidR="00723211" w:rsidRDefault="00723211" w:rsidP="00723211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University of Leicester</w:t>
      </w:r>
    </w:p>
    <w:p w14:paraId="6B7D778C" w14:textId="77777777" w:rsidR="00723211" w:rsidRDefault="00723211" w:rsidP="00723211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College of Life Sciences </w:t>
      </w:r>
    </w:p>
    <w:p w14:paraId="4760249A" w14:textId="77777777" w:rsidR="00723211" w:rsidRDefault="00723211" w:rsidP="00723211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CLS / HPRU Grant studentship</w:t>
      </w:r>
    </w:p>
    <w:p w14:paraId="1F075E5A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B11E2F" w:rsidRPr="00B11E2F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B11E2F" w:rsidRDefault="00066C81" w:rsidP="00066C81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</w:rPr>
              <w:t>First Supervisor</w:t>
            </w:r>
          </w:p>
        </w:tc>
        <w:tc>
          <w:tcPr>
            <w:tcW w:w="5807" w:type="dxa"/>
          </w:tcPr>
          <w:p w14:paraId="4984ADF3" w14:textId="69A56F59" w:rsidR="00066C81" w:rsidRPr="00B11E2F" w:rsidRDefault="00B40E87" w:rsidP="00066C81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Prof Julie Morrissey </w:t>
            </w:r>
          </w:p>
        </w:tc>
      </w:tr>
      <w:tr w:rsidR="00B11E2F" w:rsidRPr="00B11E2F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B11E2F" w:rsidRDefault="00066C81" w:rsidP="00066C81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</w:rPr>
              <w:t>School/Department</w:t>
            </w:r>
          </w:p>
        </w:tc>
        <w:tc>
          <w:tcPr>
            <w:tcW w:w="5807" w:type="dxa"/>
          </w:tcPr>
          <w:p w14:paraId="0B7A4BF6" w14:textId="220933D0" w:rsidR="00066C81" w:rsidRPr="00B11E2F" w:rsidRDefault="00B40E87" w:rsidP="00066C81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LeMID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B11E2F" w:rsidRPr="00B11E2F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B11E2F" w:rsidRDefault="003A7DAE" w:rsidP="00066C81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</w:rPr>
              <w:t xml:space="preserve">Email </w:t>
            </w:r>
          </w:p>
        </w:tc>
        <w:tc>
          <w:tcPr>
            <w:tcW w:w="5807" w:type="dxa"/>
          </w:tcPr>
          <w:p w14:paraId="28BF855B" w14:textId="0A42C14F" w:rsidR="003A7DAE" w:rsidRPr="00B11E2F" w:rsidRDefault="00B40E87" w:rsidP="00B11E2F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auto"/>
              </w:rPr>
            </w:pPr>
            <w:r w:rsidRPr="00B40E87">
              <w:rPr>
                <w:rFonts w:asciiTheme="minorHAnsi" w:hAnsiTheme="minorHAnsi" w:cstheme="minorHAnsi"/>
                <w:color w:val="auto"/>
              </w:rPr>
              <w:t>jam26@leicester.ac.uk</w:t>
            </w:r>
          </w:p>
        </w:tc>
      </w:tr>
    </w:tbl>
    <w:p w14:paraId="7C06D8EE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B11E2F" w:rsidRPr="00B11E2F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E2F" w:rsidRDefault="00066C81" w:rsidP="00ED69E6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</w:rPr>
              <w:t>Second Supervisor</w:t>
            </w:r>
          </w:p>
        </w:tc>
        <w:tc>
          <w:tcPr>
            <w:tcW w:w="5778" w:type="dxa"/>
          </w:tcPr>
          <w:p w14:paraId="489D6B79" w14:textId="10308B5C" w:rsidR="00066C81" w:rsidRPr="00723211" w:rsidRDefault="00B40E87" w:rsidP="00ED69E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Dr Emma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Marczylo</w:t>
            </w:r>
            <w:proofErr w:type="spellEnd"/>
            <w:r w:rsidR="00723211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00723211">
              <w:rPr>
                <w:rFonts w:asciiTheme="minorHAnsi" w:hAnsiTheme="minorHAnsi" w:cstheme="minorHAnsi"/>
                <w:color w:val="auto"/>
              </w:rPr>
              <w:t>UK Health Security Agency (UKHSA)</w:t>
            </w:r>
          </w:p>
        </w:tc>
      </w:tr>
    </w:tbl>
    <w:p w14:paraId="3188842D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B11E2F" w:rsidRPr="00B11E2F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E2F" w:rsidRDefault="00066C81" w:rsidP="00ED69E6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</w:rPr>
              <w:t>Additional Supervisor</w:t>
            </w:r>
          </w:p>
        </w:tc>
        <w:tc>
          <w:tcPr>
            <w:tcW w:w="5778" w:type="dxa"/>
          </w:tcPr>
          <w:p w14:paraId="04519482" w14:textId="6A881F09" w:rsidR="00B40E87" w:rsidRPr="00B11E2F" w:rsidRDefault="00B40E87" w:rsidP="00B11E2F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auto"/>
              </w:rPr>
            </w:pPr>
            <w:r w:rsidRPr="00B40E87">
              <w:rPr>
                <w:rFonts w:asciiTheme="minorHAnsi" w:hAnsiTheme="minorHAnsi" w:cstheme="minorHAnsi"/>
                <w:color w:val="auto"/>
              </w:rPr>
              <w:t>Emma-Jane Goode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40E87">
              <w:rPr>
                <w:rFonts w:asciiTheme="minorHAnsi" w:hAnsiTheme="minorHAnsi" w:cstheme="minorHAnsi"/>
                <w:color w:val="auto"/>
              </w:rPr>
              <w:t>emma-jane.goode@ukhsa.gov.uk</w:t>
            </w:r>
          </w:p>
        </w:tc>
      </w:tr>
    </w:tbl>
    <w:p w14:paraId="4806292A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b/>
          <w:color w:val="auto"/>
          <w:u w:val="single"/>
        </w:rPr>
      </w:pPr>
    </w:p>
    <w:p w14:paraId="2F660E25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B11E2F">
        <w:rPr>
          <w:rFonts w:asciiTheme="minorHAnsi" w:hAnsiTheme="minorHAnsi" w:cstheme="minorHAnsi"/>
          <w:b/>
          <w:color w:val="auto"/>
        </w:rPr>
        <w:t xml:space="preserve">Section 2 – </w:t>
      </w:r>
      <w:r w:rsidRPr="00B11E2F">
        <w:rPr>
          <w:rFonts w:asciiTheme="minorHAnsi" w:hAnsiTheme="minorHAnsi" w:cstheme="minorHAnsi"/>
          <w:b/>
          <w:i/>
          <w:color w:val="auto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11E2F" w:rsidRPr="00B11E2F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Pr="00B11E2F" w:rsidRDefault="00066C81" w:rsidP="00ED69E6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</w:rPr>
              <w:t>Project Title</w:t>
            </w:r>
          </w:p>
          <w:p w14:paraId="2AE8459A" w14:textId="77777777" w:rsidR="00066C81" w:rsidRPr="00B11E2F" w:rsidRDefault="00066C81" w:rsidP="00ED69E6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036" w:type="dxa"/>
          </w:tcPr>
          <w:p w14:paraId="2BC2E11D" w14:textId="3BBCB420" w:rsidR="00066C81" w:rsidRPr="00B11E2F" w:rsidRDefault="00DF27C1" w:rsidP="00B11E2F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b/>
                <w:bCs/>
              </w:rPr>
              <w:t>The impact of particulate air pollutants on bacteria and how pollutant-adapted bacteria interact with human respiratory epithelium</w:t>
            </w:r>
          </w:p>
        </w:tc>
      </w:tr>
      <w:tr w:rsidR="00B11E2F" w:rsidRPr="00B11E2F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Pr="00B11E2F" w:rsidRDefault="00066C81" w:rsidP="00066C81">
            <w:pPr>
              <w:rPr>
                <w:rFonts w:asciiTheme="minorHAnsi" w:hAnsiTheme="minorHAnsi" w:cstheme="minorHAnsi"/>
                <w:color w:val="auto"/>
              </w:rPr>
            </w:pPr>
            <w:r w:rsidRPr="00B11E2F">
              <w:rPr>
                <w:rFonts w:asciiTheme="minorHAnsi" w:hAnsiTheme="minorHAnsi" w:cstheme="minorHAnsi"/>
                <w:b/>
                <w:color w:val="auto"/>
                <w:highlight w:val="lightGray"/>
              </w:rPr>
              <w:t>Project Summary</w:t>
            </w:r>
            <w:r w:rsidRPr="00B11E2F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DF27C1" w:rsidRPr="00B11E2F" w14:paraId="51FA071A" w14:textId="77777777" w:rsidTr="00ED69E6">
        <w:tc>
          <w:tcPr>
            <w:tcW w:w="9016" w:type="dxa"/>
            <w:gridSpan w:val="2"/>
          </w:tcPr>
          <w:p w14:paraId="7755FF71" w14:textId="12371706" w:rsidR="00DF27C1" w:rsidRDefault="00DF27C1" w:rsidP="00DF27C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Project description </w:t>
            </w:r>
          </w:p>
          <w:p w14:paraId="39357927" w14:textId="77777777" w:rsidR="00DF27C1" w:rsidRDefault="00DF27C1" w:rsidP="00DF27C1">
            <w:pPr>
              <w:rPr>
                <w:bCs/>
              </w:rPr>
            </w:pPr>
          </w:p>
          <w:p w14:paraId="5375A49C" w14:textId="77777777" w:rsidR="00DF27C1" w:rsidRPr="00B3607F" w:rsidRDefault="00DF27C1" w:rsidP="00DF27C1">
            <w:pPr>
              <w:rPr>
                <w:bCs/>
              </w:rPr>
            </w:pPr>
            <w:r w:rsidRPr="00B3607F">
              <w:rPr>
                <w:bCs/>
              </w:rPr>
              <w:t>Air</w:t>
            </w:r>
            <w:r>
              <w:rPr>
                <w:bCs/>
              </w:rPr>
              <w:t xml:space="preserve"> pollution is</w:t>
            </w:r>
            <w:r w:rsidRPr="00B3607F">
              <w:rPr>
                <w:bCs/>
              </w:rPr>
              <w:t xml:space="preserve"> a major risk to human health, exacerbating </w:t>
            </w:r>
            <w:r>
              <w:rPr>
                <w:bCs/>
              </w:rPr>
              <w:t xml:space="preserve">respiratory diseases such as </w:t>
            </w:r>
            <w:r>
              <w:t>chronic respiratory disease</w:t>
            </w:r>
            <w:r>
              <w:rPr>
                <w:bCs/>
              </w:rPr>
              <w:t xml:space="preserve"> (COPD, asthma) and acute and chronic </w:t>
            </w:r>
            <w:r w:rsidRPr="00142464">
              <w:rPr>
                <w:bCs/>
              </w:rPr>
              <w:t>infectious diseases</w:t>
            </w:r>
            <w:r>
              <w:rPr>
                <w:bCs/>
              </w:rPr>
              <w:t xml:space="preserve"> (</w:t>
            </w:r>
            <w:proofErr w:type="gramStart"/>
            <w:r>
              <w:rPr>
                <w:bCs/>
              </w:rPr>
              <w:t>e.g.</w:t>
            </w:r>
            <w:proofErr w:type="gramEnd"/>
            <w:r>
              <w:rPr>
                <w:bCs/>
              </w:rPr>
              <w:t xml:space="preserve"> pneumonia, chronic rhinosinusitis)</w:t>
            </w:r>
            <w:r w:rsidRPr="00142464">
              <w:rPr>
                <w:bCs/>
              </w:rPr>
              <w:t xml:space="preserve">, antimicrobial resistance and disruption of </w:t>
            </w:r>
            <w:r>
              <w:rPr>
                <w:bCs/>
              </w:rPr>
              <w:t xml:space="preserve">human </w:t>
            </w:r>
            <w:r w:rsidRPr="00142464">
              <w:rPr>
                <w:bCs/>
              </w:rPr>
              <w:t xml:space="preserve">microbiomes. </w:t>
            </w:r>
          </w:p>
          <w:p w14:paraId="6338CD89" w14:textId="77777777" w:rsidR="00DF27C1" w:rsidRPr="00B3607F" w:rsidRDefault="00DF27C1" w:rsidP="00DF27C1">
            <w:pPr>
              <w:rPr>
                <w:bCs/>
              </w:rPr>
            </w:pPr>
          </w:p>
          <w:p w14:paraId="1531EAF2" w14:textId="77777777" w:rsidR="00DF27C1" w:rsidRDefault="00DF27C1" w:rsidP="00DF27C1">
            <w:pPr>
              <w:rPr>
                <w:bCs/>
              </w:rPr>
            </w:pPr>
            <w:r>
              <w:rPr>
                <w:bCs/>
              </w:rPr>
              <w:t>Our interdisciplinary research shows</w:t>
            </w:r>
            <w:r w:rsidRPr="00B3607F">
              <w:rPr>
                <w:bCs/>
              </w:rPr>
              <w:t xml:space="preserve"> that </w:t>
            </w:r>
            <w:r>
              <w:rPr>
                <w:bCs/>
              </w:rPr>
              <w:t xml:space="preserve">air-borne </w:t>
            </w:r>
            <w:r w:rsidRPr="00B3607F">
              <w:rPr>
                <w:bCs/>
              </w:rPr>
              <w:t>particulate pollutants i</w:t>
            </w:r>
            <w:r>
              <w:rPr>
                <w:bCs/>
              </w:rPr>
              <w:t>nteract</w:t>
            </w:r>
            <w:r w:rsidRPr="00B3607F">
              <w:rPr>
                <w:bCs/>
              </w:rPr>
              <w:t xml:space="preserve"> directly </w:t>
            </w:r>
            <w:r>
              <w:rPr>
                <w:bCs/>
              </w:rPr>
              <w:t>with</w:t>
            </w:r>
            <w:r w:rsidRPr="00B3607F">
              <w:rPr>
                <w:bCs/>
              </w:rPr>
              <w:t xml:space="preserve"> bacteria to potentiate infection, irrespective of the effect of pollutants on the host. We found that physical interaction of bacteria with the particulate pollutant, black carbon, results in </w:t>
            </w:r>
            <w:r>
              <w:rPr>
                <w:bCs/>
              </w:rPr>
              <w:t xml:space="preserve">an atypical </w:t>
            </w:r>
            <w:r w:rsidRPr="00B3607F">
              <w:rPr>
                <w:bCs/>
              </w:rPr>
              <w:t>pattern of gene expression, increasing colonisation of abiotic and biotic surfaces including the</w:t>
            </w:r>
            <w:r>
              <w:rPr>
                <w:bCs/>
              </w:rPr>
              <w:t xml:space="preserve"> </w:t>
            </w:r>
            <w:r w:rsidRPr="00B3607F">
              <w:rPr>
                <w:bCs/>
              </w:rPr>
              <w:t>respiratory tract.</w:t>
            </w:r>
            <w:r>
              <w:rPr>
                <w:bCs/>
              </w:rPr>
              <w:t xml:space="preserve">  Notably pollutant-adapted bacteria show increased tolerance to antibiotics including antibiotic of last resort for methicillin resistant Staphylococcus aureus (MRSA).</w:t>
            </w:r>
          </w:p>
          <w:p w14:paraId="370F0827" w14:textId="77777777" w:rsidR="00DF27C1" w:rsidRDefault="00DF27C1" w:rsidP="00DF27C1">
            <w:pPr>
              <w:rPr>
                <w:bCs/>
              </w:rPr>
            </w:pPr>
          </w:p>
          <w:p w14:paraId="56B88986" w14:textId="77777777" w:rsidR="00DF27C1" w:rsidRPr="005B6DFD" w:rsidRDefault="00DF27C1" w:rsidP="00DF27C1">
            <w:pPr>
              <w:rPr>
                <w:bCs/>
              </w:rPr>
            </w:pPr>
            <w:r>
              <w:rPr>
                <w:bCs/>
              </w:rPr>
              <w:t>A</w:t>
            </w:r>
            <w:r w:rsidRPr="001D6E5C">
              <w:rPr>
                <w:bCs/>
              </w:rPr>
              <w:t xml:space="preserve">ll bacteria </w:t>
            </w:r>
            <w:r>
              <w:rPr>
                <w:bCs/>
              </w:rPr>
              <w:t>investigated</w:t>
            </w:r>
            <w:r w:rsidRPr="001D6E5C">
              <w:rPr>
                <w:bCs/>
              </w:rPr>
              <w:t xml:space="preserve"> show similar phenotypic responses </w:t>
            </w:r>
            <w:proofErr w:type="gramStart"/>
            <w:r w:rsidRPr="001D6E5C">
              <w:rPr>
                <w:bCs/>
              </w:rPr>
              <w:t>e.g.</w:t>
            </w:r>
            <w:proofErr w:type="gramEnd"/>
            <w:r w:rsidRPr="001D6E5C">
              <w:rPr>
                <w:bCs/>
              </w:rPr>
              <w:t xml:space="preserve"> Staphylococcus aureus, Streptococcus pneumoniae, Haemophilus influenzae and Moraxella catarrhalis but </w:t>
            </w:r>
            <w:r>
              <w:rPr>
                <w:bCs/>
              </w:rPr>
              <w:t xml:space="preserve">all have </w:t>
            </w:r>
            <w:r w:rsidRPr="001D6E5C">
              <w:rPr>
                <w:bCs/>
              </w:rPr>
              <w:t xml:space="preserve">different </w:t>
            </w:r>
            <w:r>
              <w:rPr>
                <w:bCs/>
              </w:rPr>
              <w:t xml:space="preserve">global </w:t>
            </w:r>
            <w:r w:rsidRPr="001D6E5C">
              <w:rPr>
                <w:bCs/>
              </w:rPr>
              <w:t>transcriptional responses. We still do not understand how particulate interaction with the bacterial cell surface changes gene expression</w:t>
            </w:r>
            <w:r>
              <w:rPr>
                <w:bCs/>
              </w:rPr>
              <w:t xml:space="preserve">. Additionally, </w:t>
            </w:r>
            <w:r>
              <w:t>understanding of how air pollutants alter bacterial interaction with the human respiratory tract is still severely lacking.</w:t>
            </w:r>
          </w:p>
          <w:p w14:paraId="0080ACDB" w14:textId="77777777" w:rsidR="00DF27C1" w:rsidRDefault="00DF27C1" w:rsidP="00DF27C1">
            <w:pPr>
              <w:rPr>
                <w:bCs/>
              </w:rPr>
            </w:pPr>
          </w:p>
          <w:p w14:paraId="6373F27F" w14:textId="77777777" w:rsidR="00DF27C1" w:rsidRDefault="00DF27C1" w:rsidP="00DF27C1">
            <w:pPr>
              <w:rPr>
                <w:bCs/>
              </w:rPr>
            </w:pPr>
            <w:r w:rsidRPr="005B6DFD">
              <w:rPr>
                <w:bCs/>
              </w:rPr>
              <w:t xml:space="preserve">This </w:t>
            </w:r>
            <w:r>
              <w:rPr>
                <w:bCs/>
              </w:rPr>
              <w:t xml:space="preserve">aim of this </w:t>
            </w:r>
            <w:r w:rsidRPr="005B6DFD">
              <w:rPr>
                <w:bCs/>
              </w:rPr>
              <w:t xml:space="preserve">project </w:t>
            </w:r>
            <w:r>
              <w:rPr>
                <w:bCs/>
              </w:rPr>
              <w:t>is to</w:t>
            </w:r>
            <w:r w:rsidRPr="005B6DFD">
              <w:rPr>
                <w:bCs/>
              </w:rPr>
              <w:t xml:space="preserve"> increase understanding of the biological mechanisms involved in the relationship between </w:t>
            </w:r>
            <w:r>
              <w:rPr>
                <w:bCs/>
              </w:rPr>
              <w:t>pollutant-adapted bacteria</w:t>
            </w:r>
            <w:r w:rsidRPr="005B6DFD">
              <w:rPr>
                <w:bCs/>
              </w:rPr>
              <w:t xml:space="preserve"> and respiratory tract health to </w:t>
            </w:r>
            <w:r>
              <w:rPr>
                <w:bCs/>
              </w:rPr>
              <w:t xml:space="preserve">lead to </w:t>
            </w:r>
            <w:r w:rsidRPr="005B6DFD">
              <w:rPr>
                <w:bCs/>
              </w:rPr>
              <w:t>novel therapeutic strategies for COPD</w:t>
            </w:r>
            <w:r>
              <w:rPr>
                <w:bCs/>
              </w:rPr>
              <w:t>, asthma or other chronic infectious diseases</w:t>
            </w:r>
            <w:r w:rsidRPr="005B6DFD">
              <w:rPr>
                <w:bCs/>
              </w:rPr>
              <w:t>.</w:t>
            </w:r>
          </w:p>
          <w:p w14:paraId="722AE107" w14:textId="77777777" w:rsidR="00DF27C1" w:rsidRPr="00AB5A69" w:rsidRDefault="00DF27C1" w:rsidP="00DF27C1">
            <w:pPr>
              <w:rPr>
                <w:bCs/>
              </w:rPr>
            </w:pPr>
          </w:p>
          <w:p w14:paraId="7207CE9D" w14:textId="77777777" w:rsidR="00DF27C1" w:rsidRDefault="00DF27C1" w:rsidP="00DF27C1">
            <w:r>
              <w:t>Our objectives are to</w:t>
            </w:r>
          </w:p>
          <w:p w14:paraId="308E4DA7" w14:textId="77777777" w:rsidR="00DF27C1" w:rsidRDefault="00DF27C1" w:rsidP="00DF27C1">
            <w:pPr>
              <w:pStyle w:val="ListParagraph"/>
              <w:numPr>
                <w:ilvl w:val="0"/>
                <w:numId w:val="6"/>
              </w:numPr>
            </w:pPr>
            <w:r>
              <w:t xml:space="preserve">Understand how pollution-adapted bacteria effect respiratory tract integrity and immune responses. </w:t>
            </w:r>
          </w:p>
          <w:p w14:paraId="5E45D9CE" w14:textId="77777777" w:rsidR="00DF27C1" w:rsidRDefault="00DF27C1" w:rsidP="00DF27C1">
            <w:pPr>
              <w:pStyle w:val="ListParagraph"/>
              <w:numPr>
                <w:ilvl w:val="0"/>
                <w:numId w:val="6"/>
              </w:numPr>
            </w:pPr>
            <w:r>
              <w:t>Determine the importance of particulate-regulated biological pathways in infection and antimicrobial resistance.</w:t>
            </w:r>
          </w:p>
          <w:p w14:paraId="38C1A162" w14:textId="77777777" w:rsidR="00DF27C1" w:rsidRDefault="00DF27C1" w:rsidP="00DF27C1">
            <w:pPr>
              <w:pStyle w:val="ListParagraph"/>
            </w:pPr>
          </w:p>
          <w:p w14:paraId="7758F581" w14:textId="77777777" w:rsidR="00DF27C1" w:rsidRDefault="00DF27C1" w:rsidP="00DF27C1">
            <w:pPr>
              <w:tabs>
                <w:tab w:val="left" w:pos="360"/>
              </w:tabs>
              <w:jc w:val="both"/>
            </w:pPr>
            <w:r w:rsidRPr="005232BD">
              <w:rPr>
                <w:rFonts w:cstheme="minorHAnsi"/>
              </w:rPr>
              <w:t xml:space="preserve">The student will be supervised by a </w:t>
            </w:r>
            <w:r>
              <w:t>multi-disciplinary project</w:t>
            </w:r>
            <w:r w:rsidRPr="00565867">
              <w:t xml:space="preserve"> </w:t>
            </w:r>
            <w:r w:rsidRPr="005232BD">
              <w:rPr>
                <w:rFonts w:cstheme="minorHAnsi"/>
              </w:rPr>
              <w:t>supervisory team</w:t>
            </w:r>
            <w:r>
              <w:rPr>
                <w:rFonts w:cstheme="minorHAnsi"/>
              </w:rPr>
              <w:t xml:space="preserve"> Morrissey (</w:t>
            </w:r>
            <w:proofErr w:type="spellStart"/>
            <w:r>
              <w:rPr>
                <w:rFonts w:cstheme="minorHAnsi"/>
              </w:rPr>
              <w:t>UoL</w:t>
            </w:r>
            <w:proofErr w:type="spellEnd"/>
            <w:r>
              <w:rPr>
                <w:rFonts w:cstheme="minorHAnsi"/>
              </w:rPr>
              <w:t xml:space="preserve">), </w:t>
            </w:r>
            <w:proofErr w:type="spellStart"/>
            <w:r>
              <w:rPr>
                <w:rFonts w:cstheme="minorHAnsi"/>
              </w:rPr>
              <w:t>Marczylo</w:t>
            </w:r>
            <w:proofErr w:type="spellEnd"/>
            <w:r>
              <w:rPr>
                <w:rFonts w:cstheme="minorHAnsi"/>
              </w:rPr>
              <w:t xml:space="preserve"> and Goode (UKHSA)</w:t>
            </w:r>
            <w:r w:rsidRPr="005232BD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 xml:space="preserve">will </w:t>
            </w:r>
            <w:r w:rsidRPr="005232BD">
              <w:rPr>
                <w:rFonts w:cstheme="minorHAnsi"/>
              </w:rPr>
              <w:t xml:space="preserve">be well-provided with all the necessary training and facilities. </w:t>
            </w:r>
            <w:r w:rsidRPr="00565867">
              <w:t xml:space="preserve">The student will be registered with the University of Leicester for the PhD </w:t>
            </w:r>
            <w:r>
              <w:t xml:space="preserve">but will spend time at </w:t>
            </w:r>
            <w:r w:rsidRPr="00130ED3">
              <w:t>UKHSA becoming familiar with UKHSA</w:t>
            </w:r>
            <w:r>
              <w:t xml:space="preserve"> public health and expertise with epithelial models</w:t>
            </w:r>
            <w:r w:rsidRPr="00130ED3">
              <w:t xml:space="preserve">.  </w:t>
            </w:r>
          </w:p>
          <w:p w14:paraId="2ACF4BF4" w14:textId="77777777" w:rsidR="00DF27C1" w:rsidRPr="00191ED2" w:rsidRDefault="00DF27C1" w:rsidP="00DF27C1">
            <w:pPr>
              <w:tabs>
                <w:tab w:val="left" w:pos="360"/>
              </w:tabs>
              <w:jc w:val="both"/>
            </w:pPr>
          </w:p>
          <w:p w14:paraId="6DA18D4E" w14:textId="77777777" w:rsidR="00DF27C1" w:rsidRPr="000D16D0" w:rsidRDefault="00DF27C1" w:rsidP="00DF27C1">
            <w:pPr>
              <w:widowControl w:val="0"/>
              <w:tabs>
                <w:tab w:val="left" w:pos="321"/>
              </w:tabs>
              <w:autoSpaceDE w:val="0"/>
              <w:autoSpaceDN w:val="0"/>
              <w:spacing w:after="120"/>
              <w:jc w:val="both"/>
            </w:pPr>
            <w:r w:rsidRPr="00935DE7">
              <w:rPr>
                <w:rFonts w:cstheme="minorHAnsi"/>
                <w:u w:val="single"/>
              </w:rPr>
              <w:t>Expected outcomes</w:t>
            </w:r>
            <w:r>
              <w:rPr>
                <w:rFonts w:cstheme="minorHAnsi"/>
                <w:u w:val="single"/>
              </w:rPr>
              <w:t xml:space="preserve"> and training.</w:t>
            </w:r>
            <w:r w:rsidRPr="003709BB">
              <w:rPr>
                <w:rFonts w:cstheme="minorHAnsi"/>
              </w:rPr>
              <w:t xml:space="preserve"> </w:t>
            </w:r>
          </w:p>
          <w:p w14:paraId="69B6D5FB" w14:textId="77777777" w:rsidR="00DF27C1" w:rsidRDefault="00DF27C1" w:rsidP="00DF27C1">
            <w:pPr>
              <w:jc w:val="both"/>
            </w:pPr>
            <w:r w:rsidRPr="003709BB">
              <w:rPr>
                <w:rFonts w:cstheme="minorHAnsi"/>
              </w:rPr>
              <w:t xml:space="preserve">The student will benefit from being part of large inter-disciplinary </w:t>
            </w:r>
            <w:r>
              <w:t>Health Protection Research Unit (HPRU) funded by the National Institute of Health Research (NIHR) at the University of Leicester (</w:t>
            </w:r>
            <w:proofErr w:type="spellStart"/>
            <w:r>
              <w:t>UoL</w:t>
            </w:r>
            <w:proofErr w:type="spellEnd"/>
            <w:r>
              <w:t xml:space="preserve">). </w:t>
            </w:r>
            <w:r w:rsidRPr="00AA6875">
              <w:t xml:space="preserve">The student will be part of a lively and friendly interdisciplinary research group and will be </w:t>
            </w:r>
            <w:r w:rsidRPr="00AA6875">
              <w:lastRenderedPageBreak/>
              <w:t xml:space="preserve">trained in a wide range of </w:t>
            </w:r>
            <w:r>
              <w:t>methodologies</w:t>
            </w:r>
            <w:r w:rsidRPr="00AA6875">
              <w:t xml:space="preserve"> including </w:t>
            </w:r>
            <w:r>
              <w:t>molecular microbiology</w:t>
            </w:r>
            <w:r w:rsidRPr="00AA6875">
              <w:t xml:space="preserve">, </w:t>
            </w:r>
            <w:r>
              <w:t xml:space="preserve">mammalian </w:t>
            </w:r>
            <w:r w:rsidRPr="00AA6875">
              <w:t xml:space="preserve">tissue culture, </w:t>
            </w:r>
            <w:r>
              <w:t>omics methodologies</w:t>
            </w:r>
            <w:r w:rsidRPr="00AA6875">
              <w:t xml:space="preserve">, </w:t>
            </w:r>
            <w:r>
              <w:t>and advanced</w:t>
            </w:r>
            <w:r w:rsidRPr="00AA6875">
              <w:t xml:space="preserve"> microscopy</w:t>
            </w:r>
            <w:r>
              <w:t>. Additionally, t</w:t>
            </w:r>
            <w:r w:rsidRPr="00AA6875">
              <w:t xml:space="preserve">he student will benefit from active </w:t>
            </w:r>
            <w:r>
              <w:t xml:space="preserve">research </w:t>
            </w:r>
            <w:r w:rsidRPr="00AA6875">
              <w:t xml:space="preserve">project meetings </w:t>
            </w:r>
            <w:r>
              <w:t xml:space="preserve">with </w:t>
            </w:r>
            <w:r w:rsidRPr="00AA6875">
              <w:t>respiratory and infectious disease clinicia</w:t>
            </w:r>
            <w:r>
              <w:t>ns and chemists, and association with the NIHR Biomedical Research Centre and Health Protection Research Unit, and UK Health Science Agency</w:t>
            </w:r>
            <w:r w:rsidRPr="00AA6875">
              <w:t>.</w:t>
            </w:r>
          </w:p>
          <w:p w14:paraId="263BE6B6" w14:textId="77777777" w:rsidR="00DF27C1" w:rsidRPr="005D5C88" w:rsidRDefault="00DF27C1" w:rsidP="00DF27C1">
            <w:pPr>
              <w:rPr>
                <w:bCs/>
              </w:rPr>
            </w:pPr>
          </w:p>
          <w:p w14:paraId="7DC69438" w14:textId="77777777" w:rsidR="00DF27C1" w:rsidRDefault="00DF27C1" w:rsidP="00DF27C1">
            <w:pPr>
              <w:pStyle w:val="NoSpacing"/>
              <w:rPr>
                <w:b/>
                <w:bCs/>
              </w:rPr>
            </w:pPr>
          </w:p>
          <w:p w14:paraId="46311F1B" w14:textId="77777777" w:rsidR="00DF27C1" w:rsidRDefault="00DF27C1" w:rsidP="00DF27C1">
            <w:pPr>
              <w:pStyle w:val="NoSpacing"/>
              <w:rPr>
                <w:b/>
                <w:bCs/>
              </w:rPr>
            </w:pPr>
          </w:p>
          <w:p w14:paraId="52EFBB87" w14:textId="77777777" w:rsidR="00DF27C1" w:rsidRPr="00B11E2F" w:rsidRDefault="00DF27C1" w:rsidP="00DF27C1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7FEF6135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b/>
          <w:color w:val="auto"/>
          <w:u w:val="single"/>
        </w:rPr>
      </w:pPr>
    </w:p>
    <w:p w14:paraId="1D713C9F" w14:textId="77777777" w:rsidR="00066C81" w:rsidRPr="00B11E2F" w:rsidRDefault="00066C81" w:rsidP="00066C81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</w:p>
    <w:sectPr w:rsidR="00066C81" w:rsidRPr="00B11E2F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E8E"/>
    <w:multiLevelType w:val="multilevel"/>
    <w:tmpl w:val="82C66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67D08"/>
    <w:multiLevelType w:val="hybridMultilevel"/>
    <w:tmpl w:val="12E8C92C"/>
    <w:lvl w:ilvl="0" w:tplc="EB863B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77271"/>
    <w:multiLevelType w:val="hybridMultilevel"/>
    <w:tmpl w:val="D0981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167B7"/>
    <w:multiLevelType w:val="multilevel"/>
    <w:tmpl w:val="62F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10D40"/>
    <w:multiLevelType w:val="hybridMultilevel"/>
    <w:tmpl w:val="6CAA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5891"/>
    <w:multiLevelType w:val="hybridMultilevel"/>
    <w:tmpl w:val="DC44B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74E96"/>
    <w:rsid w:val="001D0D0E"/>
    <w:rsid w:val="003A7DAE"/>
    <w:rsid w:val="00472987"/>
    <w:rsid w:val="005F1B80"/>
    <w:rsid w:val="00723211"/>
    <w:rsid w:val="008F07D6"/>
    <w:rsid w:val="008F1EDD"/>
    <w:rsid w:val="00971900"/>
    <w:rsid w:val="009C47A8"/>
    <w:rsid w:val="00A934B5"/>
    <w:rsid w:val="00AE49DF"/>
    <w:rsid w:val="00B11E2F"/>
    <w:rsid w:val="00B40E87"/>
    <w:rsid w:val="00B76E94"/>
    <w:rsid w:val="00BB70D0"/>
    <w:rsid w:val="00BD5F21"/>
    <w:rsid w:val="00DE4189"/>
    <w:rsid w:val="00DF27C1"/>
    <w:rsid w:val="00F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11E2F"/>
    <w:pPr>
      <w:spacing w:after="0" w:line="240" w:lineRule="auto"/>
    </w:pPr>
    <w:rPr>
      <w:rFonts w:eastAsiaTheme="minorHAnsi"/>
      <w:color w:val="auto"/>
    </w:rPr>
  </w:style>
  <w:style w:type="character" w:customStyle="1" w:styleId="normaltextrun">
    <w:name w:val="normaltextrun"/>
    <w:basedOn w:val="DefaultParagraphFont"/>
    <w:rsid w:val="00B11E2F"/>
  </w:style>
  <w:style w:type="paragraph" w:styleId="NoSpacing">
    <w:name w:val="No Spacing"/>
    <w:uiPriority w:val="1"/>
    <w:qFormat/>
    <w:rsid w:val="00971900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971900"/>
    <w:pPr>
      <w:spacing w:line="240" w:lineRule="auto"/>
    </w:pPr>
    <w:rPr>
      <w:rFonts w:eastAsiaTheme="minorHAnsi"/>
      <w:noProof/>
      <w:color w:val="auto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1900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2</cp:revision>
  <dcterms:created xsi:type="dcterms:W3CDTF">2025-10-02T13:52:00Z</dcterms:created>
  <dcterms:modified xsi:type="dcterms:W3CDTF">2025-10-02T13:52:00Z</dcterms:modified>
</cp:coreProperties>
</file>