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16286DB1" w14:textId="77777777" w:rsidR="008F6943" w:rsidRDefault="008F6943" w:rsidP="008F6943">
      <w:pPr>
        <w:pStyle w:val="Title"/>
        <w:rPr>
          <w:rFonts w:eastAsia="Calibri"/>
          <w:lang w:eastAsia="en-GB"/>
        </w:rPr>
      </w:pPr>
      <w:r>
        <w:rPr>
          <w:rFonts w:eastAsia="Calibri"/>
          <w:lang w:eastAsia="en-GB"/>
        </w:rPr>
        <w:t xml:space="preserve">School of Chemistry Graduate Teaching Assistant </w:t>
      </w:r>
    </w:p>
    <w:p w14:paraId="07743803" w14:textId="5E10D734" w:rsidR="0039206A" w:rsidRPr="008F6943" w:rsidRDefault="008F6943" w:rsidP="008F6943">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31CA6A75" w:rsidR="00513FDF" w:rsidRPr="0039206A" w:rsidRDefault="008F6943"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Prof. </w:t>
            </w:r>
            <w:r w:rsidR="00A42BD7">
              <w:rPr>
                <w:rFonts w:ascii="Calibri" w:eastAsia="Calibri" w:hAnsi="Calibri" w:cs="Calibri"/>
                <w:color w:val="000000"/>
                <w:lang w:eastAsia="en-GB"/>
              </w:rPr>
              <w:t>Andrew Hudson</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431C26F4" w:rsidR="00513FDF" w:rsidRPr="0039206A" w:rsidRDefault="008F6943"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School of </w:t>
            </w:r>
            <w:r w:rsidR="00F6274F">
              <w:rPr>
                <w:rFonts w:ascii="Calibri" w:eastAsia="Calibri" w:hAnsi="Calibri" w:cs="Calibri"/>
                <w:color w:val="000000"/>
                <w:lang w:eastAsia="en-GB"/>
              </w:rPr>
              <w:t>Chemistry</w:t>
            </w:r>
            <w:r>
              <w:rPr>
                <w:rFonts w:ascii="Calibri" w:eastAsia="Calibri" w:hAnsi="Calibri" w:cs="Calibri"/>
                <w:color w:val="000000"/>
                <w:lang w:eastAsia="en-GB"/>
              </w:rPr>
              <w:t xml:space="preserve"> and Institute of Structural and Chemical Biology</w:t>
            </w:r>
          </w:p>
        </w:tc>
      </w:tr>
      <w:tr w:rsidR="008F6943" w:rsidRPr="0039206A" w14:paraId="72E5DEA8" w14:textId="77777777" w:rsidTr="00DE0A9B">
        <w:tc>
          <w:tcPr>
            <w:tcW w:w="3227" w:type="dxa"/>
            <w:shd w:val="clear" w:color="auto" w:fill="F2F2F2" w:themeFill="background1" w:themeFillShade="F2"/>
          </w:tcPr>
          <w:p w14:paraId="62ACA288" w14:textId="77777777" w:rsidR="008F6943" w:rsidRPr="0039206A" w:rsidRDefault="008F6943"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6C773949" w:rsidR="008F6943" w:rsidRPr="0039206A" w:rsidRDefault="0024087A" w:rsidP="002144D4">
            <w:pPr>
              <w:spacing w:after="160"/>
              <w:jc w:val="left"/>
              <w:rPr>
                <w:rFonts w:ascii="Calibri" w:eastAsia="Calibri" w:hAnsi="Calibri" w:cs="Calibri"/>
                <w:color w:val="000000"/>
                <w:lang w:eastAsia="en-GB"/>
              </w:rPr>
            </w:pPr>
            <w:hyperlink r:id="rId8" w:history="1">
              <w:r w:rsidR="00C02CDB" w:rsidRPr="007F2E24">
                <w:rPr>
                  <w:rStyle w:val="Hyperlink"/>
                  <w:rFonts w:ascii="Calibri" w:eastAsia="Calibri" w:hAnsi="Calibri" w:cs="Calibri"/>
                  <w:lang w:eastAsia="en-GB"/>
                </w:rPr>
                <w:t>ah242@leicester.ac.uk</w:t>
              </w:r>
            </w:hyperlink>
            <w:r w:rsidR="00C02CDB">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6E77FF04" w:rsidR="00513FDF" w:rsidRPr="0039206A" w:rsidRDefault="008F6943"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Dr. </w:t>
            </w:r>
            <w:r w:rsidR="00F6274F">
              <w:rPr>
                <w:rFonts w:ascii="Calibri" w:eastAsia="Calibri" w:hAnsi="Calibri" w:cs="Calibri"/>
                <w:color w:val="000000"/>
                <w:lang w:eastAsia="en-GB"/>
              </w:rPr>
              <w:t>Hanna Kwon</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0E5241EA" w:rsidR="00513FDF" w:rsidRPr="0039206A" w:rsidRDefault="008F6943"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School of Biological and Biomedical Sciences and Institute of Structural and Chemical Biology</w:t>
            </w:r>
          </w:p>
        </w:tc>
      </w:tr>
      <w:tr w:rsidR="008F6943" w:rsidRPr="0039206A" w14:paraId="671C2736" w14:textId="77777777" w:rsidTr="00BD452C">
        <w:tc>
          <w:tcPr>
            <w:tcW w:w="3256" w:type="dxa"/>
            <w:shd w:val="clear" w:color="auto" w:fill="F2F2F2" w:themeFill="background1" w:themeFillShade="F2"/>
          </w:tcPr>
          <w:p w14:paraId="45E58301" w14:textId="77777777" w:rsidR="008F6943" w:rsidRPr="0039206A" w:rsidRDefault="008F6943"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7AD2AC03" w:rsidR="008F6943" w:rsidRPr="0039206A" w:rsidRDefault="0024087A" w:rsidP="002144D4">
            <w:pPr>
              <w:spacing w:after="160"/>
              <w:jc w:val="left"/>
              <w:rPr>
                <w:rFonts w:ascii="Calibri" w:eastAsia="Calibri" w:hAnsi="Calibri" w:cs="Calibri"/>
                <w:color w:val="000000"/>
                <w:lang w:eastAsia="en-GB"/>
              </w:rPr>
            </w:pPr>
            <w:hyperlink r:id="rId9" w:history="1">
              <w:r w:rsidR="00C02CDB" w:rsidRPr="007F2E24">
                <w:rPr>
                  <w:rStyle w:val="Hyperlink"/>
                  <w:rFonts w:ascii="Calibri" w:eastAsia="Calibri" w:hAnsi="Calibri" w:cs="Calibri"/>
                  <w:lang w:eastAsia="en-GB"/>
                </w:rPr>
                <w:t>hanna.kwon@leicester.ac.uk</w:t>
              </w:r>
            </w:hyperlink>
            <w:r w:rsidR="00C02CDB">
              <w:rPr>
                <w:rFonts w:ascii="Calibri" w:eastAsia="Calibri" w:hAnsi="Calibri" w:cs="Calibri"/>
                <w:color w:val="000000"/>
                <w:lang w:eastAsia="en-GB"/>
              </w:rPr>
              <w:t xml:space="preserve"> </w:t>
            </w:r>
          </w:p>
        </w:tc>
      </w:tr>
    </w:tbl>
    <w:p w14:paraId="04EEF7E7" w14:textId="77777777" w:rsidR="0039206A" w:rsidRPr="0039206A" w:rsidRDefault="0039206A" w:rsidP="0039206A">
      <w:pPr>
        <w:spacing w:line="240" w:lineRule="auto"/>
        <w:jc w:val="left"/>
        <w:rPr>
          <w:rFonts w:ascii="Calibri" w:eastAsia="Calibri" w:hAnsi="Calibri" w:cs="Calibri"/>
          <w:color w:val="000000"/>
          <w:lang w:eastAsia="en-GB"/>
        </w:rPr>
      </w:pPr>
    </w:p>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09D88F7B" w:rsidR="00513FDF" w:rsidRPr="0039206A" w:rsidRDefault="00C025E2" w:rsidP="00513FDF">
            <w:pPr>
              <w:spacing w:after="160"/>
              <w:jc w:val="left"/>
              <w:rPr>
                <w:rFonts w:ascii="Calibri" w:eastAsia="Calibri" w:hAnsi="Calibri" w:cs="Calibri"/>
                <w:color w:val="000000"/>
                <w:lang w:eastAsia="en-GB"/>
              </w:rPr>
            </w:pPr>
            <w:r w:rsidRPr="00C025E2">
              <w:rPr>
                <w:rFonts w:ascii="Calibri" w:hAnsi="Calibri" w:cs="Calibri"/>
                <w:b/>
                <w:bCs/>
                <w:sz w:val="24"/>
                <w:szCs w:val="24"/>
              </w:rPr>
              <w:t>A Biophysical Approach to Uncovering Mechanisms of Circadian Rhythm Regulation</w:t>
            </w:r>
          </w:p>
        </w:tc>
      </w:tr>
      <w:tr w:rsidR="00513FDF" w:rsidRPr="0039206A" w14:paraId="0BA24187" w14:textId="77777777" w:rsidTr="004E2B61">
        <w:tc>
          <w:tcPr>
            <w:tcW w:w="1980" w:type="dxa"/>
            <w:vMerge w:val="restart"/>
            <w:shd w:val="clear" w:color="auto" w:fill="F2F2F2" w:themeFill="background1" w:themeFillShade="F2"/>
          </w:tcPr>
          <w:p w14:paraId="14528AAF"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15CADCD4" w:rsidR="00513FDF" w:rsidRPr="0039206A" w:rsidRDefault="00C025E2" w:rsidP="00513FDF">
            <w:pPr>
              <w:spacing w:after="160"/>
              <w:jc w:val="left"/>
              <w:rPr>
                <w:rFonts w:ascii="Calibri" w:eastAsia="Calibri" w:hAnsi="Calibri" w:cs="Calibri"/>
                <w:color w:val="000000"/>
                <w:lang w:eastAsia="en-GB"/>
              </w:rPr>
            </w:pPr>
            <w:r w:rsidRPr="00C025E2">
              <w:rPr>
                <w:rFonts w:ascii="Calibri" w:eastAsia="Calibri" w:hAnsi="Calibri" w:cs="Calibri"/>
                <w:color w:val="000000"/>
                <w:lang w:eastAsia="en-GB"/>
              </w:rPr>
              <w:t>The project will draw on principles of ligand substitution in inorganic chemistry to explain haem exchange between protein partners.</w:t>
            </w:r>
          </w:p>
        </w:tc>
      </w:tr>
      <w:tr w:rsidR="00513FDF" w:rsidRPr="0039206A" w14:paraId="386423AB" w14:textId="77777777" w:rsidTr="004E2B61">
        <w:tc>
          <w:tcPr>
            <w:tcW w:w="1980" w:type="dxa"/>
            <w:vMerge/>
            <w:shd w:val="clear" w:color="auto" w:fill="F2F2F2" w:themeFill="background1" w:themeFillShade="F2"/>
          </w:tcPr>
          <w:p w14:paraId="6AB887F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544F08E1" w:rsidR="00513FDF" w:rsidRPr="0039206A" w:rsidRDefault="00C025E2" w:rsidP="00513FDF">
            <w:pPr>
              <w:spacing w:after="160"/>
              <w:jc w:val="left"/>
              <w:rPr>
                <w:rFonts w:ascii="Calibri" w:eastAsia="Calibri" w:hAnsi="Calibri" w:cs="Calibri"/>
                <w:color w:val="000000"/>
                <w:lang w:eastAsia="en-GB"/>
              </w:rPr>
            </w:pPr>
            <w:r w:rsidRPr="00C025E2">
              <w:rPr>
                <w:rFonts w:ascii="Calibri" w:eastAsia="Calibri" w:hAnsi="Calibri" w:cs="Calibri"/>
                <w:color w:val="000000"/>
                <w:lang w:eastAsia="en-GB"/>
              </w:rPr>
              <w:t>Acquisition and assignment of NMR spectra for protein–haem complexes.</w:t>
            </w:r>
          </w:p>
        </w:tc>
      </w:tr>
      <w:tr w:rsidR="00513FDF" w:rsidRPr="0039206A" w14:paraId="55C3CAE0" w14:textId="77777777" w:rsidTr="004E2B61">
        <w:tc>
          <w:tcPr>
            <w:tcW w:w="1980" w:type="dxa"/>
            <w:vMerge/>
            <w:shd w:val="clear" w:color="auto" w:fill="F2F2F2" w:themeFill="background1" w:themeFillShade="F2"/>
          </w:tcPr>
          <w:p w14:paraId="74B92EE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45859F5D" w:rsidR="00513FDF" w:rsidRPr="0039206A" w:rsidRDefault="00C025E2" w:rsidP="00513FDF">
            <w:pPr>
              <w:spacing w:after="160"/>
              <w:jc w:val="left"/>
              <w:rPr>
                <w:rFonts w:ascii="Calibri" w:eastAsia="Calibri" w:hAnsi="Calibri" w:cs="Calibri"/>
                <w:color w:val="000000"/>
                <w:lang w:eastAsia="en-GB"/>
              </w:rPr>
            </w:pPr>
            <w:r w:rsidRPr="00C025E2">
              <w:rPr>
                <w:rFonts w:ascii="Calibri" w:eastAsia="Calibri" w:hAnsi="Calibri" w:cs="Calibri"/>
                <w:color w:val="000000"/>
                <w:lang w:eastAsia="en-GB"/>
              </w:rPr>
              <w:t>Advanced biophysical approaches—including optical tweezers, small-angle X-ray scattering, and electron paramagnetic resonance spectroscopy—will be applied to further elucidate mechanisms of haem-modulated protein activity.</w:t>
            </w:r>
          </w:p>
        </w:tc>
      </w:tr>
      <w:tr w:rsidR="0039206A" w:rsidRPr="0039206A" w14:paraId="78C09C5D" w14:textId="77777777" w:rsidTr="004E2B61">
        <w:tc>
          <w:tcPr>
            <w:tcW w:w="9016" w:type="dxa"/>
            <w:gridSpan w:val="3"/>
            <w:shd w:val="clear" w:color="auto" w:fill="F2F2F2" w:themeFill="background1" w:themeFillShade="F2"/>
          </w:tcPr>
          <w:p w14:paraId="534AD455" w14:textId="3D528241"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22CBE4DD" w14:textId="798DC1B9"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Haem is a small organometallic cofactor that plays a central role in many aspects of cellular biology. Traditionally, its function was considered to be largely confined to haemoproteins, where it acts as a tightly bound prosthetic group. However, emerging evidence has broadened this view considerably. Haem is now recognised to participate more dynamically in cellular processes, acting transiently to modulate the activity and behaviour of a wider range of proteins.</w:t>
            </w:r>
          </w:p>
          <w:p w14:paraId="0317BCC5" w14:textId="2BE09915"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 xml:space="preserve">Our research focuses on </w:t>
            </w:r>
            <w:r>
              <w:rPr>
                <w:rFonts w:asciiTheme="minorHAnsi" w:eastAsia="Times New Roman" w:hAnsiTheme="minorHAnsi" w:cstheme="minorHAnsi"/>
                <w:lang w:eastAsia="en-GB"/>
              </w:rPr>
              <w:t xml:space="preserve">the protein, </w:t>
            </w:r>
            <w:r w:rsidRPr="00A60565">
              <w:rPr>
                <w:rFonts w:asciiTheme="minorHAnsi" w:eastAsia="Times New Roman" w:hAnsiTheme="minorHAnsi" w:cstheme="minorHAnsi"/>
                <w:lang w:eastAsia="en-GB"/>
              </w:rPr>
              <w:t>PERIOD, a core component of the circadian clock responsible for maintaining 24-hour biological rhythms. PERIOD is capable of binding haem at both its N-terminal and C-terminal domains, yet the functional significance of this interaction in circadian regulation remains unclear. We hypothesise that haem binding induces substantial conformational changes in PERIOD, thereby altering its interactions with other core clock proteins that define circadian timing.</w:t>
            </w:r>
          </w:p>
          <w:p w14:paraId="40B173CF" w14:textId="2CD61496"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 xml:space="preserve">The primary objectives of this project are to characterise the interaction between haem and PERIOD, and to determine the resulting structural and dynamic changes in the protein. Because </w:t>
            </w:r>
            <w:r w:rsidRPr="00A60565">
              <w:rPr>
                <w:rFonts w:asciiTheme="minorHAnsi" w:eastAsia="Times New Roman" w:hAnsiTheme="minorHAnsi" w:cstheme="minorHAnsi"/>
                <w:lang w:eastAsia="en-GB"/>
              </w:rPr>
              <w:lastRenderedPageBreak/>
              <w:t>PERIOD function depends on heterodimer formation with</w:t>
            </w:r>
            <w:r>
              <w:rPr>
                <w:rFonts w:asciiTheme="minorHAnsi" w:eastAsia="Times New Roman" w:hAnsiTheme="minorHAnsi" w:cstheme="minorHAnsi"/>
                <w:lang w:eastAsia="en-GB"/>
              </w:rPr>
              <w:t xml:space="preserve"> another protein,</w:t>
            </w:r>
            <w:r w:rsidRPr="00A60565">
              <w:rPr>
                <w:rFonts w:asciiTheme="minorHAnsi" w:eastAsia="Times New Roman" w:hAnsiTheme="minorHAnsi" w:cstheme="minorHAnsi"/>
                <w:lang w:eastAsia="en-GB"/>
              </w:rPr>
              <w:t xml:space="preserve"> CRYPTOCHROME, we will also investigate how haem binding influences this key protein–protein interaction.</w:t>
            </w:r>
          </w:p>
          <w:p w14:paraId="72B4A66A" w14:textId="77777777"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Our experimental approach will combine a range of biophysical techniques. Haem binding to PERIOD will be quantified using isothermal titration calorimetry and complementary spectroscopic methods. Structural and conformational dynamics will be characterised using nuclear magnetic resonance (NMR), electron paramagnetic resonance (EPR) spectroscopy, and small-angle X-ray scattering (SAXS).</w:t>
            </w:r>
          </w:p>
          <w:p w14:paraId="176115AA" w14:textId="77777777"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The project will provide training in protein expression and purification, as well as in advanced spectroscopic techniques, including NMR data acquisition and assignment. It will also involve access to major research infrastructures in the UK for EPR measurements, and in Europe—including MAX IV (Lund) and the ESRF (Grenoble)—for SAXS experiments. In addition, the project will leverage advanced biophysics instrumentation in Leicester for single-molecule studies, including a Lumicks C-Trap, multiphoton fluorescence lifetime imaging microscopy, and total internal reflection fluorescence microscopy.</w:t>
            </w:r>
          </w:p>
          <w:p w14:paraId="0288D6A1" w14:textId="77777777" w:rsidR="00A60565" w:rsidRPr="00A60565" w:rsidRDefault="00A60565" w:rsidP="00A60565">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By elucidating how haem modulates the function of a core circadian protein, this work aims to uncover a broader regulatory role for haem in biology—extending beyond circadian timekeeping to processes such as immune function, neurodegeneration, ageing, gas sensing, and ion-channel gating.</w:t>
            </w:r>
          </w:p>
          <w:p w14:paraId="4280F4FB" w14:textId="215BBC53" w:rsidR="00A60565" w:rsidRPr="008F6943" w:rsidRDefault="00A60565" w:rsidP="008F6943">
            <w:pPr>
              <w:spacing w:before="100" w:beforeAutospacing="1" w:after="100" w:afterAutospacing="1"/>
              <w:jc w:val="left"/>
              <w:rPr>
                <w:rFonts w:asciiTheme="minorHAnsi" w:eastAsia="Times New Roman" w:hAnsiTheme="minorHAnsi" w:cstheme="minorHAnsi"/>
                <w:lang w:eastAsia="en-GB"/>
              </w:rPr>
            </w:pPr>
            <w:r w:rsidRPr="00A60565">
              <w:rPr>
                <w:rFonts w:asciiTheme="minorHAnsi" w:eastAsia="Times New Roman" w:hAnsiTheme="minorHAnsi" w:cstheme="minorHAnsi"/>
                <w:lang w:eastAsia="en-GB"/>
              </w:rPr>
              <w:t>Applicants for this PhD should have a strong interest in spectroscopy and other quantitative physical measurement techniques, and enthusiasm for interdisciplinary research at the interface of chemistry and the life sciences.</w:t>
            </w:r>
          </w:p>
          <w:p w14:paraId="110257A3" w14:textId="138DD069" w:rsidR="00C025E2" w:rsidRPr="00A60565" w:rsidRDefault="00C025E2" w:rsidP="00C025E2">
            <w:pPr>
              <w:pStyle w:val="ListParagraph"/>
              <w:widowControl w:val="0"/>
              <w:tabs>
                <w:tab w:val="left" w:pos="321"/>
              </w:tabs>
              <w:autoSpaceDE w:val="0"/>
              <w:autoSpaceDN w:val="0"/>
              <w:ind w:left="0"/>
              <w:rPr>
                <w:rFonts w:asciiTheme="minorHAnsi" w:hAnsiTheme="minorHAnsi" w:cstheme="minorHAnsi"/>
                <w:b/>
                <w:bCs/>
              </w:rPr>
            </w:pPr>
            <w:r w:rsidRPr="00A60565">
              <w:rPr>
                <w:rFonts w:asciiTheme="minorHAnsi" w:hAnsiTheme="minorHAnsi" w:cstheme="minorHAnsi"/>
                <w:b/>
                <w:bCs/>
              </w:rPr>
              <w:t>References</w:t>
            </w:r>
          </w:p>
          <w:p w14:paraId="39202C13" w14:textId="77777777" w:rsidR="00C025E2" w:rsidRPr="00C025E2" w:rsidRDefault="00C025E2" w:rsidP="00C025E2">
            <w:pPr>
              <w:pStyle w:val="ListParagraph"/>
              <w:widowControl w:val="0"/>
              <w:tabs>
                <w:tab w:val="left" w:pos="321"/>
              </w:tabs>
              <w:autoSpaceDE w:val="0"/>
              <w:autoSpaceDN w:val="0"/>
              <w:ind w:left="0"/>
              <w:contextualSpacing w:val="0"/>
              <w:rPr>
                <w:rFonts w:asciiTheme="minorHAnsi" w:hAnsiTheme="minorHAnsi" w:cstheme="minorHAnsi"/>
              </w:rPr>
            </w:pPr>
            <w:r>
              <w:rPr>
                <w:rFonts w:ascii="Calibri" w:hAnsi="Calibri" w:cs="Calibri"/>
                <w:b/>
                <w:bCs/>
              </w:rPr>
              <w:t>(1</w:t>
            </w:r>
            <w:r w:rsidRPr="00C025E2">
              <w:rPr>
                <w:rFonts w:asciiTheme="minorHAnsi" w:hAnsiTheme="minorHAnsi" w:cstheme="minorHAnsi"/>
                <w:b/>
                <w:bCs/>
              </w:rPr>
              <w:t xml:space="preserve">) </w:t>
            </w:r>
            <w:r w:rsidRPr="00C025E2">
              <w:rPr>
                <w:rFonts w:asciiTheme="minorHAnsi" w:hAnsiTheme="minorHAnsi" w:cstheme="minorHAnsi"/>
              </w:rPr>
              <w:t xml:space="preserve">Andrea E. Gallio, Noa A. Marson, Kate J. Heesom, Philip A. Lewis, Dominic Alibhai, Celyn A. Dugdale, Andrew Herman, Jaswir Basran, Andrew J. Hudson, Emma L. Raven (2025). </w:t>
            </w:r>
            <w:r w:rsidRPr="00C025E2">
              <w:rPr>
                <w:rFonts w:asciiTheme="minorHAnsi" w:eastAsia="Times New Roman" w:hAnsiTheme="minorHAnsi" w:cstheme="minorHAnsi"/>
              </w:rPr>
              <w:t>An extended network for regulation of heme homeostasis in cells</w:t>
            </w:r>
            <w:r w:rsidRPr="00C025E2">
              <w:rPr>
                <w:rFonts w:asciiTheme="minorHAnsi" w:hAnsiTheme="minorHAnsi" w:cstheme="minorHAnsi"/>
              </w:rPr>
              <w:t xml:space="preserve">. </w:t>
            </w:r>
            <w:r w:rsidRPr="00C025E2">
              <w:rPr>
                <w:rFonts w:asciiTheme="minorHAnsi" w:hAnsiTheme="minorHAnsi" w:cstheme="minorHAnsi"/>
                <w:i/>
                <w:iCs/>
              </w:rPr>
              <w:t>Proceedings of the National Academy of Sciences</w:t>
            </w:r>
            <w:r w:rsidRPr="00C025E2">
              <w:rPr>
                <w:rFonts w:asciiTheme="minorHAnsi" w:hAnsiTheme="minorHAnsi" w:cstheme="minorHAnsi"/>
              </w:rPr>
              <w:t>.</w:t>
            </w:r>
          </w:p>
          <w:p w14:paraId="7A4CB1C3" w14:textId="7647BCBA" w:rsidR="00C025E2" w:rsidRPr="00C025E2" w:rsidRDefault="0024087A" w:rsidP="00C025E2">
            <w:pPr>
              <w:pStyle w:val="ListParagraph"/>
              <w:widowControl w:val="0"/>
              <w:tabs>
                <w:tab w:val="left" w:pos="321"/>
              </w:tabs>
              <w:autoSpaceDE w:val="0"/>
              <w:autoSpaceDN w:val="0"/>
              <w:ind w:left="0"/>
              <w:contextualSpacing w:val="0"/>
              <w:rPr>
                <w:rFonts w:asciiTheme="minorHAnsi" w:hAnsiTheme="minorHAnsi" w:cstheme="minorHAnsi"/>
              </w:rPr>
            </w:pPr>
            <w:hyperlink r:id="rId10" w:history="1">
              <w:r w:rsidR="00C025E2" w:rsidRPr="00C025E2">
                <w:rPr>
                  <w:rStyle w:val="Hyperlink"/>
                  <w:rFonts w:asciiTheme="minorHAnsi" w:hAnsiTheme="minorHAnsi" w:cstheme="minorHAnsi"/>
                </w:rPr>
                <w:t>10.1073/pnas.2508237122</w:t>
              </w:r>
            </w:hyperlink>
          </w:p>
          <w:p w14:paraId="052A9758" w14:textId="77777777" w:rsidR="00C025E2" w:rsidRPr="00C025E2" w:rsidRDefault="00C025E2" w:rsidP="00C025E2">
            <w:pPr>
              <w:pStyle w:val="apa6"/>
              <w:spacing w:after="0"/>
              <w:ind w:left="0" w:firstLine="0"/>
              <w:rPr>
                <w:rFonts w:asciiTheme="minorHAnsi" w:hAnsiTheme="minorHAnsi" w:cstheme="minorHAnsi"/>
                <w:sz w:val="22"/>
                <w:szCs w:val="22"/>
              </w:rPr>
            </w:pPr>
            <w:r w:rsidRPr="00C025E2">
              <w:rPr>
                <w:rFonts w:asciiTheme="minorHAnsi" w:hAnsiTheme="minorHAnsi" w:cstheme="minorHAnsi"/>
                <w:b/>
                <w:bCs/>
                <w:sz w:val="22"/>
                <w:szCs w:val="22"/>
              </w:rPr>
              <w:t xml:space="preserve">(2) </w:t>
            </w:r>
            <w:r w:rsidRPr="00C025E2">
              <w:rPr>
                <w:rFonts w:asciiTheme="minorHAnsi" w:hAnsiTheme="minorHAnsi" w:cstheme="minorHAnsi"/>
                <w:sz w:val="22"/>
                <w:szCs w:val="22"/>
              </w:rPr>
              <w:t xml:space="preserve">Gallio, A. E., Fung, S. S. -P., Cammack-Najera, A., Hudson, A. J., &amp; Raven, E. L. (2021). Understanding the Logistics for the Distribution of Heme in Cells. </w:t>
            </w:r>
            <w:r w:rsidRPr="00C025E2">
              <w:rPr>
                <w:rFonts w:asciiTheme="minorHAnsi" w:hAnsiTheme="minorHAnsi" w:cstheme="minorHAnsi"/>
                <w:i/>
                <w:iCs/>
                <w:sz w:val="22"/>
                <w:szCs w:val="22"/>
              </w:rPr>
              <w:t>JACS Au</w:t>
            </w:r>
            <w:r w:rsidRPr="00C025E2">
              <w:rPr>
                <w:rFonts w:asciiTheme="minorHAnsi" w:hAnsiTheme="minorHAnsi" w:cstheme="minorHAnsi"/>
                <w:sz w:val="22"/>
                <w:szCs w:val="22"/>
              </w:rPr>
              <w:t xml:space="preserve">, </w:t>
            </w:r>
            <w:r w:rsidRPr="00C025E2">
              <w:rPr>
                <w:rFonts w:asciiTheme="minorHAnsi" w:hAnsiTheme="minorHAnsi" w:cstheme="minorHAnsi"/>
                <w:i/>
                <w:iCs/>
                <w:sz w:val="22"/>
                <w:szCs w:val="22"/>
              </w:rPr>
              <w:t>1</w:t>
            </w:r>
            <w:r w:rsidRPr="00C025E2">
              <w:rPr>
                <w:rFonts w:asciiTheme="minorHAnsi" w:hAnsiTheme="minorHAnsi" w:cstheme="minorHAnsi"/>
                <w:sz w:val="22"/>
                <w:szCs w:val="22"/>
              </w:rPr>
              <w:t>(10), 1541-1555.</w:t>
            </w:r>
          </w:p>
          <w:p w14:paraId="6E218F62" w14:textId="75637FCB" w:rsidR="00C025E2" w:rsidRPr="00C025E2" w:rsidRDefault="0024087A" w:rsidP="00C025E2">
            <w:pPr>
              <w:pStyle w:val="apa6"/>
              <w:spacing w:after="0"/>
              <w:ind w:left="0" w:firstLine="0"/>
              <w:rPr>
                <w:rFonts w:asciiTheme="minorHAnsi" w:hAnsiTheme="minorHAnsi" w:cstheme="minorHAnsi"/>
                <w:sz w:val="22"/>
                <w:szCs w:val="22"/>
              </w:rPr>
            </w:pPr>
            <w:hyperlink r:id="rId11" w:history="1">
              <w:r w:rsidR="00C025E2" w:rsidRPr="00C025E2">
                <w:rPr>
                  <w:rStyle w:val="Hyperlink"/>
                  <w:rFonts w:asciiTheme="minorHAnsi" w:hAnsiTheme="minorHAnsi" w:cstheme="minorHAnsi"/>
                  <w:color w:val="0000FF"/>
                  <w:sz w:val="22"/>
                  <w:szCs w:val="22"/>
                </w:rPr>
                <w:t>10.1021/jacsau.1c00288</w:t>
              </w:r>
            </w:hyperlink>
          </w:p>
          <w:p w14:paraId="45A25EF2" w14:textId="77777777" w:rsidR="00C025E2" w:rsidRPr="00C025E2" w:rsidRDefault="00C025E2" w:rsidP="00C025E2">
            <w:pPr>
              <w:pStyle w:val="apa6"/>
              <w:spacing w:after="0"/>
              <w:ind w:left="0" w:firstLine="0"/>
              <w:rPr>
                <w:rFonts w:asciiTheme="minorHAnsi" w:hAnsiTheme="minorHAnsi" w:cstheme="minorHAnsi"/>
                <w:sz w:val="22"/>
                <w:szCs w:val="22"/>
              </w:rPr>
            </w:pPr>
            <w:r w:rsidRPr="00C025E2">
              <w:rPr>
                <w:rFonts w:asciiTheme="minorHAnsi" w:hAnsiTheme="minorHAnsi" w:cstheme="minorHAnsi"/>
                <w:b/>
                <w:bCs/>
                <w:sz w:val="22"/>
                <w:szCs w:val="22"/>
              </w:rPr>
              <w:t>(3)</w:t>
            </w:r>
            <w:r w:rsidRPr="00C025E2">
              <w:rPr>
                <w:rFonts w:asciiTheme="minorHAnsi" w:hAnsiTheme="minorHAnsi" w:cstheme="minorHAnsi"/>
                <w:sz w:val="22"/>
                <w:szCs w:val="22"/>
              </w:rPr>
              <w:t xml:space="preserve"> Leung, G. C. -H., Fung, S. S. -P., Gallio, A. E., Blore, R., Alibhai, D., Raven, E. L., &amp; Hudson, A. J. (2021). Unravelling the mechanisms controlling heme supply and demand. </w:t>
            </w:r>
            <w:r w:rsidRPr="00C025E2">
              <w:rPr>
                <w:rFonts w:asciiTheme="minorHAnsi" w:hAnsiTheme="minorHAnsi" w:cstheme="minorHAnsi"/>
                <w:i/>
                <w:iCs/>
                <w:sz w:val="22"/>
                <w:szCs w:val="22"/>
              </w:rPr>
              <w:t>Proceedings of the National Academy of Sciences</w:t>
            </w:r>
            <w:r w:rsidRPr="00C025E2">
              <w:rPr>
                <w:rFonts w:asciiTheme="minorHAnsi" w:hAnsiTheme="minorHAnsi" w:cstheme="minorHAnsi"/>
                <w:sz w:val="22"/>
                <w:szCs w:val="22"/>
              </w:rPr>
              <w:t xml:space="preserve">, </w:t>
            </w:r>
            <w:r w:rsidRPr="00C025E2">
              <w:rPr>
                <w:rFonts w:asciiTheme="minorHAnsi" w:hAnsiTheme="minorHAnsi" w:cstheme="minorHAnsi"/>
                <w:i/>
                <w:iCs/>
                <w:sz w:val="22"/>
                <w:szCs w:val="22"/>
              </w:rPr>
              <w:t>118</w:t>
            </w:r>
            <w:r w:rsidRPr="00C025E2">
              <w:rPr>
                <w:rFonts w:asciiTheme="minorHAnsi" w:hAnsiTheme="minorHAnsi" w:cstheme="minorHAnsi"/>
                <w:sz w:val="22"/>
                <w:szCs w:val="22"/>
              </w:rPr>
              <w:t>(22).</w:t>
            </w:r>
          </w:p>
          <w:p w14:paraId="7EC1DA5B" w14:textId="74E6644A" w:rsidR="00C025E2" w:rsidRPr="00C025E2" w:rsidRDefault="0024087A" w:rsidP="00C025E2">
            <w:pPr>
              <w:pStyle w:val="apa6"/>
              <w:spacing w:after="0"/>
              <w:ind w:left="0" w:firstLine="0"/>
              <w:rPr>
                <w:rFonts w:asciiTheme="minorHAnsi" w:hAnsiTheme="minorHAnsi" w:cstheme="minorHAnsi"/>
                <w:sz w:val="22"/>
                <w:szCs w:val="22"/>
              </w:rPr>
            </w:pPr>
            <w:hyperlink r:id="rId12" w:history="1">
              <w:r w:rsidR="00C025E2" w:rsidRPr="00C025E2">
                <w:rPr>
                  <w:rStyle w:val="Hyperlink"/>
                  <w:rFonts w:asciiTheme="minorHAnsi" w:hAnsiTheme="minorHAnsi" w:cstheme="minorHAnsi"/>
                  <w:color w:val="0000FF"/>
                  <w:sz w:val="22"/>
                  <w:szCs w:val="22"/>
                </w:rPr>
                <w:t>10.1073/pnas.2104008118</w:t>
              </w:r>
            </w:hyperlink>
          </w:p>
          <w:p w14:paraId="78D482CE" w14:textId="68343255" w:rsidR="00F6274F" w:rsidRPr="00F6274F" w:rsidRDefault="00F6274F" w:rsidP="00513FDF">
            <w:pPr>
              <w:spacing w:after="160"/>
              <w:jc w:val="left"/>
              <w:rPr>
                <w:rFonts w:ascii="Calibri" w:eastAsia="Calibri" w:hAnsi="Calibri" w:cs="Times New Roman"/>
              </w:rPr>
            </w:pPr>
          </w:p>
        </w:tc>
      </w:tr>
    </w:tbl>
    <w:p w14:paraId="3CD2B30E" w14:textId="0076CF67" w:rsidR="002240E0" w:rsidRDefault="002240E0"/>
    <w:p w14:paraId="4BF40640" w14:textId="77777777" w:rsidR="00C67732" w:rsidRDefault="00C67732" w:rsidP="00C67732">
      <w:pPr>
        <w:rPr>
          <w:rFonts w:asciiTheme="minorHAnsi" w:hAnsiTheme="minorHAnsi" w:cstheme="minorHAnsi"/>
          <w:b/>
        </w:rPr>
      </w:pPr>
      <w:r>
        <w:rPr>
          <w:rFonts w:asciiTheme="minorHAnsi" w:hAnsiTheme="minorHAnsi" w:cstheme="minorHAnsi"/>
          <w:b/>
        </w:rPr>
        <w:t>See web page for details of how to apply</w:t>
      </w:r>
    </w:p>
    <w:p w14:paraId="6BA09F16" w14:textId="77777777" w:rsidR="00C67732" w:rsidRDefault="00C67732" w:rsidP="00C67732">
      <w:pPr>
        <w:rPr>
          <w:rFonts w:asciiTheme="minorHAnsi" w:hAnsiTheme="minorHAnsi" w:cstheme="minorHAnsi"/>
          <w:b/>
        </w:rPr>
      </w:pPr>
    </w:p>
    <w:p w14:paraId="0C040708" w14:textId="77777777" w:rsidR="00C67732" w:rsidRPr="001E6550" w:rsidRDefault="00C67732" w:rsidP="00C67732">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3"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68FF5C2F" w14:textId="27807901" w:rsidR="00436BA7" w:rsidRDefault="00436BA7"/>
    <w:p w14:paraId="06AED8F5" w14:textId="7CC5EE51" w:rsidR="00436BA7" w:rsidRDefault="00436BA7"/>
    <w:sectPr w:rsidR="0043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C280D"/>
    <w:rsid w:val="00163395"/>
    <w:rsid w:val="002240E0"/>
    <w:rsid w:val="0024087A"/>
    <w:rsid w:val="002868B4"/>
    <w:rsid w:val="0039206A"/>
    <w:rsid w:val="00436BA7"/>
    <w:rsid w:val="0047561F"/>
    <w:rsid w:val="004834B1"/>
    <w:rsid w:val="004E2B61"/>
    <w:rsid w:val="00513FDF"/>
    <w:rsid w:val="00553917"/>
    <w:rsid w:val="00626CF0"/>
    <w:rsid w:val="008F6943"/>
    <w:rsid w:val="00A42BD7"/>
    <w:rsid w:val="00A60565"/>
    <w:rsid w:val="00A83594"/>
    <w:rsid w:val="00B51493"/>
    <w:rsid w:val="00C025E2"/>
    <w:rsid w:val="00C02CDB"/>
    <w:rsid w:val="00C67732"/>
    <w:rsid w:val="00C96452"/>
    <w:rsid w:val="00D1721F"/>
    <w:rsid w:val="00D50E9B"/>
    <w:rsid w:val="00EC07C7"/>
    <w:rsid w:val="00F6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paragraph" w:customStyle="1" w:styleId="apa6">
    <w:name w:val="apa6"/>
    <w:basedOn w:val="Normal"/>
    <w:uiPriority w:val="99"/>
    <w:rsid w:val="00C025E2"/>
    <w:pPr>
      <w:keepLines/>
      <w:autoSpaceDE w:val="0"/>
      <w:autoSpaceDN w:val="0"/>
      <w:adjustRightInd w:val="0"/>
      <w:spacing w:after="160" w:line="240" w:lineRule="auto"/>
      <w:ind w:left="720" w:hanging="720"/>
      <w:jc w:val="left"/>
    </w:pPr>
    <w:rPr>
      <w:rFonts w:ascii="Times New Roman" w:eastAsiaTheme="minorEastAsia" w:hAnsi="Times New Roman" w:cs="Times New Roman"/>
      <w:color w:val="000000"/>
      <w:sz w:val="24"/>
      <w:szCs w:val="24"/>
      <w:lang w:eastAsia="en-GB"/>
    </w:rPr>
  </w:style>
  <w:style w:type="paragraph" w:styleId="NormalWeb">
    <w:name w:val="Normal (Web)"/>
    <w:basedOn w:val="Normal"/>
    <w:uiPriority w:val="99"/>
    <w:semiHidden/>
    <w:unhideWhenUsed/>
    <w:rsid w:val="00A6056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0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065254">
      <w:bodyDiv w:val="1"/>
      <w:marLeft w:val="0"/>
      <w:marRight w:val="0"/>
      <w:marTop w:val="0"/>
      <w:marBottom w:val="0"/>
      <w:divBdr>
        <w:top w:val="none" w:sz="0" w:space="0" w:color="auto"/>
        <w:left w:val="none" w:sz="0" w:space="0" w:color="auto"/>
        <w:bottom w:val="none" w:sz="0" w:space="0" w:color="auto"/>
        <w:right w:val="none" w:sz="0" w:space="0" w:color="auto"/>
      </w:divBdr>
    </w:div>
    <w:div w:id="14437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242@leicester.ac.uk" TargetMode="External"/><Relationship Id="rId13" Type="http://schemas.openxmlformats.org/officeDocument/2006/relationships/hyperlink" Target="mailto:r.g.doveston@leices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i.org/10.1073/pnas.2104008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i.org/10.1021/jacsau.1c0028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73/pnas.2508237122" TargetMode="External"/><Relationship Id="rId4" Type="http://schemas.openxmlformats.org/officeDocument/2006/relationships/numbering" Target="numbering.xml"/><Relationship Id="rId9" Type="http://schemas.openxmlformats.org/officeDocument/2006/relationships/hyperlink" Target="mailto:hanna.kwon@leic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DF0F4-ABB4-4E1F-8E4D-D1032F363A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3e275ff-89cc-44e6-b4bf-7f0856b3333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E87757-81F7-4F0B-A275-E3A3F8BF5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2</cp:revision>
  <dcterms:created xsi:type="dcterms:W3CDTF">2026-05-09T07:13:00Z</dcterms:created>
  <dcterms:modified xsi:type="dcterms:W3CDTF">2026-05-09T07:13:00Z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