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37662DF4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BBSRC MIBTP Studentship Project 2025-6 entry.</w:t>
      </w:r>
      <w:r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3D5AA8DE" w:rsidR="00066C81" w:rsidRPr="00066C81" w:rsidRDefault="004D6A8C" w:rsidP="00066C81">
            <w:r>
              <w:rPr>
                <w:rStyle w:val="normaltextrun"/>
                <w:rFonts w:ascii="Arial" w:hAnsi="Arial" w:cs="Arial"/>
                <w:shd w:val="clear" w:color="auto" w:fill="FFFFFF"/>
              </w:rPr>
              <w:t>Dr Harriet Walter and Dr Yolanda Markaki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1380BCBB" w14:textId="77777777" w:rsidR="00066C81" w:rsidRDefault="004D6A8C" w:rsidP="00066C81">
            <w:pPr>
              <w:rPr>
                <w:rStyle w:val="eop"/>
                <w:rFonts w:ascii="Arial" w:hAnsi="Arial" w:cs="Arial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Department of Genetics, Genomics and Cancer Sciences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14:paraId="0B7A4BF6" w14:textId="133F645D" w:rsidR="004D6A8C" w:rsidRPr="00066C81" w:rsidRDefault="004D6A8C" w:rsidP="00066C81">
            <w:r>
              <w:rPr>
                <w:rStyle w:val="normaltextrun"/>
                <w:rFonts w:ascii="Arial" w:hAnsi="Arial" w:cs="Arial"/>
                <w:shd w:val="clear" w:color="auto" w:fill="FFFFFF"/>
              </w:rPr>
              <w:t>Molecular &amp; Cell Biology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66334090" w14:textId="77777777" w:rsidR="00C97F86" w:rsidRDefault="004D6A8C" w:rsidP="00066C81">
            <w:pPr>
              <w:rPr>
                <w:rStyle w:val="eop"/>
                <w:rFonts w:ascii="Arial" w:hAnsi="Arial" w:cs="Arial"/>
                <w:shd w:val="clear" w:color="auto" w:fill="FFFFFF"/>
              </w:rPr>
            </w:pPr>
            <w:hyperlink r:id="rId5" w:tgtFrame="_blank" w:history="1">
              <w:r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hw191@le.ac.uk</w:t>
              </w:r>
            </w:hyperlink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&amp; </w:t>
            </w:r>
            <w:hyperlink r:id="rId6" w:tgtFrame="_blank" w:history="1">
              <w:r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FFFFFF"/>
                </w:rPr>
                <w:t>yolanda.markaki@leicester.ac.uk</w:t>
              </w:r>
            </w:hyperlink>
            <w:r>
              <w:rPr>
                <w:rStyle w:val="normaltextrun"/>
                <w:rFonts w:ascii="Arial" w:hAnsi="Arial" w:cs="Arial"/>
                <w:shd w:val="clear" w:color="auto" w:fill="FFFFFF"/>
              </w:rPr>
              <w:t> 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14:paraId="6D53A388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Harriet Walter | University of Leicester</w:t>
              </w:r>
            </w:hyperlink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8BF855B" w14:textId="553F3B47" w:rsidR="004D6A8C" w:rsidRP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https://le.ac.uk/people/yolanda-markaki</w:t>
              </w:r>
            </w:hyperlink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35C7A92B" w:rsidR="00066C81" w:rsidRDefault="004D6A8C" w:rsidP="00ED69E6">
            <w:r>
              <w:rPr>
                <w:rStyle w:val="normaltextrun"/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Dr 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Emma Hesketh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16EB479E" w:rsidR="00066C81" w:rsidRDefault="004D6A8C" w:rsidP="00ED69E6">
            <w:r>
              <w:rPr>
                <w:rStyle w:val="normaltextrun"/>
                <w:rFonts w:ascii="Arial" w:hAnsi="Arial" w:cs="Arial"/>
                <w:shd w:val="clear" w:color="auto" w:fill="FFFFFF"/>
              </w:rPr>
              <w:t>Molecular and Cellular Biology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4E5D00A3" w:rsidR="003A7DAE" w:rsidRDefault="004D6A8C" w:rsidP="00ED69E6">
            <w:hyperlink r:id="rId9" w:tgtFrame="_blank" w:history="1">
              <w:r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FFFFFF"/>
                </w:rPr>
                <w:t>emma.hesketh@leicester.ac.uk</w:t>
              </w:r>
            </w:hyperlink>
            <w:r>
              <w:rPr>
                <w:rStyle w:val="eop"/>
                <w:rFonts w:ascii="Cambria" w:hAnsi="Cambria"/>
                <w:shd w:val="clear" w:color="auto" w:fill="FFFFFF"/>
              </w:rPr>
              <w:t> 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7249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C324CCD" w:rsidR="00066C81" w:rsidRDefault="004D6A8C" w:rsidP="00ED69E6">
            <w:r>
              <w:rPr>
                <w:rStyle w:val="normaltextrun"/>
                <w:rFonts w:ascii="Arial" w:hAnsi="Arial" w:cs="Arial"/>
                <w:shd w:val="clear" w:color="auto" w:fill="FFFFFF"/>
              </w:rPr>
              <w:t>Imaging the consequences of CD20 cross-linking in B cells using super-resolution microscopy (SRM) and Cryo-Electron Tomography (</w:t>
            </w:r>
            <w:proofErr w:type="spellStart"/>
            <w:r>
              <w:rPr>
                <w:rStyle w:val="normaltextrun"/>
                <w:rFonts w:ascii="Arial" w:hAnsi="Arial" w:cs="Arial"/>
                <w:shd w:val="clear" w:color="auto" w:fill="FFFFFF"/>
              </w:rPr>
              <w:t>CryoET</w:t>
            </w:r>
            <w:proofErr w:type="spellEnd"/>
            <w:r>
              <w:rPr>
                <w:rStyle w:val="normaltextrun"/>
                <w:rFonts w:ascii="Arial" w:hAnsi="Arial" w:cs="Arial"/>
                <w:shd w:val="clear" w:color="auto" w:fill="FFFFFF"/>
              </w:rPr>
              <w:t>).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46267405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Imaging the consequences of CD20 cross-linking in B cells using super-resolution microscopy (SRM) and Cryo-Electron Tomography (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CryoET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3DB7BC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Background.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Therapeutic B cell depletion is now commonly used in autoimmune, neurological and malignant disorders. CD20 is a B-cell specific surface membrane protein expressed is widely used as a target in these conditions. Several therapeutic CD20 monoclonal antibodies (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) recognising different CD20 epitopes have been clinically transformational, for example rituximab in autoimmunity and B cell malignancies, ocrelizumab in relapsing/remitting multiple sclerosis.  Several million people worldwide have received CD20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. However, the functions of CD20 both in health and disease and the precise mode(s) of action of the various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remain largely unexplored. The structure of CD20 is shown below. Most of the protein is expressed intracellularly, with only two loops of 9 and 47 amino acids extracellular.  The loops are unlikely to play a ligand-binding role.  Cross-linking of CD20 by bivalent CD20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via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the extracellular loops is therefore unlikely to occur in nature.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BE91EB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06C5D7DC" wp14:editId="4A99E759">
                  <wp:extent cx="5969129" cy="3448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695" cy="345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F0D06C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Recently however, CD20 cross-linking has been shown to cause intracellular signalling along multiple pathways (1). Many questions remain but GSEA pathway analysis indicates that reorganisation of the actin cytoskeleton is central.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787003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 xml:space="preserve">At the cellular level, the consequences of CD20 cross-linking are pleiotropic, depend on the B-cell type and the nature of the CD20 Mab but </w:t>
            </w:r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include:-</w:t>
            </w:r>
            <w:proofErr w:type="gramEnd"/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36E0671" w14:textId="77777777" w:rsidR="004D6A8C" w:rsidRDefault="004D6A8C" w:rsidP="004D6A8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Cell death – either apoptosis or lysosomal cell death.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EFA17B5" w14:textId="77777777" w:rsidR="004D6A8C" w:rsidRDefault="004D6A8C" w:rsidP="004D6A8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Cell cycle inhibition.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6C61EE" w14:textId="77777777" w:rsidR="004D6A8C" w:rsidRDefault="004D6A8C" w:rsidP="004D6A8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CD20 internalisation.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7F5C5DF" w14:textId="77777777" w:rsidR="004D6A8C" w:rsidRDefault="004D6A8C" w:rsidP="004D6A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B cell polarisation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B4D0C2" w14:textId="77777777" w:rsidR="004D6A8C" w:rsidRDefault="004D6A8C" w:rsidP="004D6A8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Metabolic changes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B966A9" w14:textId="77777777" w:rsidR="004D6A8C" w:rsidRDefault="004D6A8C" w:rsidP="004D6A8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Cell surface “remodelling” –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CD20 crosslinking results in rapid loss of CD19 expression.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A44678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Using a panel of B cell lines, we have shown (unpublished data) that the above consequences of CD20 crosslinking vary considerably, in a cell-type dependent manner, independent of levels of CD20 expression, highlighting the critical importance of CD20 signalling following cross-linking at the cell surface.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306B12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Recently, SRM has been used to determine the cellular consequences of T and B cell activation following antigen receptor cross-linking (2). To the best of our knowledge, similar techniques have not been used following CD20 cross-linking. 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We propose to exploit the unique skillsets available within the University of Leicester in B-cell biology, SRM and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CryoEM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to investigate the cellular events in B cells following CD20 cross-linking.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5886696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Methods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CD4422F" w14:textId="77777777" w:rsidR="004D6A8C" w:rsidRDefault="004D6A8C" w:rsidP="004D6A8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 panel of 10 well characterised B cell lines with defined levels of expression of CD20, defined response to CD20 cross-linking described above and with defined expression of known CD20 interacting proteins will be studied.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FC0007" w14:textId="77777777" w:rsidR="004D6A8C" w:rsidRDefault="004D6A8C" w:rsidP="004D6A8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Cells will be exposed to three different CD20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 then stained with a panel of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including CD20 (intracellular epitopes) and CD20-interacting proteins including other cell surface membrane proteins, kinases adapters (PAG1) and cytoskeletal proteins.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9A0F97" w14:textId="77777777" w:rsidR="004D6A8C" w:rsidRDefault="004D6A8C" w:rsidP="004D6A8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SRM; the LSM980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Airyscan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2 and the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Elyra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7 allow live cell imaging down to a few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nanometers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  Dr Markaki is an expert in SRM and will establish these protocols with the Walter/Dyer labs.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550838" w14:textId="77777777" w:rsidR="004D6A8C" w:rsidRDefault="004D6A8C" w:rsidP="004D6A8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CryoET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; (Dr Emma Hesketh). Using the Titan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Krios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Electron microscope situated in the Midlands Regional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CryoEM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facility will allow us to image 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in situ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 native like conditions. The resolution will range from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nanometer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resolution to higher resolutions as low as 3 Å to 10 Å resolution when using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subtomogram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averaging. Super resolution imaging will be used in parallel with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cryoET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locate CD20 and interacting proteins.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29298E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Collectively, these data will shed new insights into the consequences of CD20 cross-linking with different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Mabs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 into the functions of CD20.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2C04ED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These studies will run in parallel with studies determining the CD20 interactome being performed in the Walter/Dyer labs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DB2D09" w14:textId="77777777" w:rsidR="00066C81" w:rsidRDefault="00066C81" w:rsidP="00ED69E6">
            <w:pPr>
              <w:rPr>
                <w:b/>
              </w:rPr>
            </w:pPr>
          </w:p>
          <w:p w14:paraId="5600531E" w14:textId="468983C0" w:rsidR="00FF61F7" w:rsidRDefault="004D6A8C" w:rsidP="00ED69E6">
            <w:pPr>
              <w:rPr>
                <w:b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T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echniques that will be undertaken during the project</w:t>
            </w:r>
          </w:p>
          <w:p w14:paraId="2FDEC7F7" w14:textId="77777777" w:rsidR="004D6A8C" w:rsidRDefault="004D6A8C" w:rsidP="004D6A8C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Cell culture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0AA1F6E" w14:textId="77777777" w:rsidR="004D6A8C" w:rsidRDefault="004D6A8C" w:rsidP="004D6A8C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Flow cytometry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9848A7D" w14:textId="77777777" w:rsidR="004D6A8C" w:rsidRDefault="004D6A8C" w:rsidP="004D6A8C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Super-resolution imaging.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E79A34" w14:textId="019F5B47" w:rsidR="00FF61F7" w:rsidRPr="004D6A8C" w:rsidRDefault="004D6A8C" w:rsidP="004D6A8C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CryoET</w:t>
            </w:r>
            <w:proofErr w:type="spellEnd"/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2EFBB87" w14:textId="6F8D8300" w:rsidR="00FF61F7" w:rsidRDefault="00FF61F7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53AD7514" w14:textId="77777777" w:rsid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1) </w:t>
            </w:r>
            <w:hyperlink r:id="rId11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</w:rPr>
                <w:t>DOI: 10.1126/science.ade3925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2CFDBB" w14:textId="4CB973E1" w:rsidR="003A7DAE" w:rsidRPr="004D6A8C" w:rsidRDefault="004D6A8C" w:rsidP="004D6A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2)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</w:rPr>
                <w:t>https://doi.org/10.1038/s42003-024-06393-1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B36"/>
    <w:multiLevelType w:val="multilevel"/>
    <w:tmpl w:val="ACEA1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D0C73"/>
    <w:multiLevelType w:val="multilevel"/>
    <w:tmpl w:val="849861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1054B"/>
    <w:multiLevelType w:val="multilevel"/>
    <w:tmpl w:val="84902D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C637C"/>
    <w:multiLevelType w:val="multilevel"/>
    <w:tmpl w:val="A0D493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C0A6A"/>
    <w:multiLevelType w:val="multilevel"/>
    <w:tmpl w:val="4E06BF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B4D42"/>
    <w:multiLevelType w:val="multilevel"/>
    <w:tmpl w:val="2FDA2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47E16"/>
    <w:multiLevelType w:val="multilevel"/>
    <w:tmpl w:val="C0C6E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64E40"/>
    <w:multiLevelType w:val="multilevel"/>
    <w:tmpl w:val="6AC0B5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5854"/>
    <w:multiLevelType w:val="multilevel"/>
    <w:tmpl w:val="CEA634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03E48"/>
    <w:multiLevelType w:val="multilevel"/>
    <w:tmpl w:val="282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A7DAE"/>
    <w:rsid w:val="004D6A8C"/>
    <w:rsid w:val="006F46FB"/>
    <w:rsid w:val="009C47A8"/>
    <w:rsid w:val="00AE49DF"/>
    <w:rsid w:val="00BB70D0"/>
    <w:rsid w:val="00BD5F21"/>
    <w:rsid w:val="00C97F86"/>
    <w:rsid w:val="00DC5838"/>
    <w:rsid w:val="00DE6413"/>
    <w:rsid w:val="00EF0A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ac.uk/people/yolanda-marka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.ac.uk/people/harriet-walter" TargetMode="External"/><Relationship Id="rId12" Type="http://schemas.openxmlformats.org/officeDocument/2006/relationships/hyperlink" Target="https://doi.org/10.1038/s42003-024-06393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.markaki@leicester.ac.uk" TargetMode="External"/><Relationship Id="rId11" Type="http://schemas.openxmlformats.org/officeDocument/2006/relationships/hyperlink" Target="https://doi.org/10.1126/science.ade3925" TargetMode="External"/><Relationship Id="rId5" Type="http://schemas.openxmlformats.org/officeDocument/2006/relationships/hyperlink" Target="mailto:hw191@le.ac.u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mma.hesketh@leicest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2024-11-13T15:45:00Z</dcterms:created>
  <dcterms:modified xsi:type="dcterms:W3CDTF">2024-11-13T15:47:00Z</dcterms:modified>
</cp:coreProperties>
</file>