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69923BE" w:rsidR="00066C81" w:rsidRPr="00974DD2" w:rsidRDefault="00974DD2" w:rsidP="00066C81">
            <w:r w:rsidRPr="00974DD2">
              <w:rPr>
                <w:rStyle w:val="normaltextrun"/>
                <w:rFonts w:ascii="Arial" w:hAnsi="Arial" w:cs="Arial"/>
                <w:shd w:val="clear" w:color="auto" w:fill="FFFFFF"/>
              </w:rPr>
              <w:t>Dr Harvinder Virk He/Him</w:t>
            </w:r>
            <w:r w:rsidRPr="00974DD2">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ACA2205" w:rsidR="00066C81" w:rsidRPr="00974DD2" w:rsidRDefault="00974DD2" w:rsidP="00066C81">
            <w:r w:rsidRPr="00974DD2">
              <w:rPr>
                <w:rStyle w:val="normaltextrun"/>
                <w:rFonts w:ascii="Arial" w:hAnsi="Arial" w:cs="Arial"/>
                <w:bdr w:val="none" w:sz="0" w:space="0" w:color="auto" w:frame="1"/>
              </w:rPr>
              <w:t>Respiratory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3DC59F74" w14:textId="77777777" w:rsidR="00C97F86" w:rsidRDefault="00974DD2" w:rsidP="00066C81">
            <w:pPr>
              <w:rPr>
                <w:rStyle w:val="normaltextrun"/>
                <w:rFonts w:ascii="Arial" w:hAnsi="Arial" w:cs="Arial"/>
                <w:shd w:val="clear" w:color="auto" w:fill="FFFFFF"/>
              </w:rPr>
            </w:pPr>
            <w:hyperlink r:id="rId5" w:tgtFrame="_blank" w:history="1">
              <w:r>
                <w:rPr>
                  <w:rStyle w:val="normaltextrun"/>
                  <w:rFonts w:ascii="Arial" w:hAnsi="Arial" w:cs="Arial"/>
                  <w:color w:val="0000FF"/>
                  <w:u w:val="single"/>
                  <w:shd w:val="clear" w:color="auto" w:fill="FFFFFF"/>
                </w:rPr>
                <w:t>hsv6@leicester.ac.uk</w:t>
              </w:r>
            </w:hyperlink>
            <w:r>
              <w:rPr>
                <w:rStyle w:val="normaltextrun"/>
                <w:rFonts w:ascii="Arial" w:hAnsi="Arial" w:cs="Arial"/>
                <w:shd w:val="clear" w:color="auto" w:fill="FFFFFF"/>
              </w:rPr>
              <w:t> </w:t>
            </w:r>
          </w:p>
          <w:p w14:paraId="28BF855B" w14:textId="1FC7A16D" w:rsidR="00974DD2" w:rsidRPr="00066C81" w:rsidRDefault="00974DD2" w:rsidP="00066C81">
            <w:hyperlink r:id="rId6" w:tgtFrame="_blank" w:history="1">
              <w:r>
                <w:rPr>
                  <w:rStyle w:val="normaltextrun"/>
                  <w:rFonts w:ascii="Arial" w:hAnsi="Arial" w:cs="Arial"/>
                  <w:color w:val="0000FF"/>
                  <w:u w:val="single"/>
                  <w:shd w:val="clear" w:color="auto" w:fill="FFFFFF"/>
                </w:rPr>
                <w:t>https://le.ac.uk/people/harvinder-virk</w:t>
              </w:r>
            </w:hyperlink>
            <w:r>
              <w:rPr>
                <w:rStyle w:val="normaltextrun"/>
                <w:rFonts w:ascii="Arial" w:hAnsi="Arial" w:cs="Arial"/>
                <w:shd w:val="clear" w:color="auto" w:fill="FFFFFF"/>
              </w:rPr>
              <w:t>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74BE14D" w:rsidR="00066C81" w:rsidRPr="00974DD2" w:rsidRDefault="00974DD2" w:rsidP="00ED69E6">
            <w:r w:rsidRPr="00974DD2">
              <w:rPr>
                <w:rStyle w:val="normaltextrun"/>
                <w:rFonts w:ascii="Arial" w:hAnsi="Arial" w:cs="Arial"/>
                <w:shd w:val="clear" w:color="auto" w:fill="FFFFFF"/>
              </w:rPr>
              <w:t>Prof David Cousins He/Him</w:t>
            </w:r>
            <w:r w:rsidRPr="00974DD2">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64CD2B15" w:rsidR="00066C81" w:rsidRPr="00974DD2" w:rsidRDefault="00974DD2" w:rsidP="00ED69E6">
            <w:r w:rsidRPr="00974DD2">
              <w:rPr>
                <w:rStyle w:val="normaltextrun"/>
                <w:rFonts w:ascii="Arial" w:hAnsi="Arial" w:cs="Arial"/>
                <w:bdr w:val="none" w:sz="0" w:space="0" w:color="auto" w:frame="1"/>
              </w:rPr>
              <w:t>Respiratory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078AC983" w14:textId="77777777" w:rsidR="003A7DAE" w:rsidRDefault="00974DD2" w:rsidP="00ED69E6">
            <w:pPr>
              <w:rPr>
                <w:rStyle w:val="normaltextrun"/>
                <w:rFonts w:ascii="Arial" w:hAnsi="Arial" w:cs="Arial"/>
                <w:shd w:val="clear" w:color="auto" w:fill="FFFFFF"/>
              </w:rPr>
            </w:pPr>
            <w:hyperlink r:id="rId7" w:tgtFrame="_blank" w:history="1">
              <w:r>
                <w:rPr>
                  <w:rStyle w:val="normaltextrun"/>
                  <w:rFonts w:ascii="Arial" w:hAnsi="Arial" w:cs="Arial"/>
                  <w:color w:val="0000FF"/>
                  <w:u w:val="single"/>
                  <w:shd w:val="clear" w:color="auto" w:fill="FFFFFF"/>
                </w:rPr>
                <w:t>dc282@leicester.ac.uk</w:t>
              </w:r>
            </w:hyperlink>
            <w:r>
              <w:rPr>
                <w:rStyle w:val="normaltextrun"/>
                <w:rFonts w:ascii="Arial" w:hAnsi="Arial" w:cs="Arial"/>
                <w:shd w:val="clear" w:color="auto" w:fill="FFFFFF"/>
              </w:rPr>
              <w:t> </w:t>
            </w:r>
          </w:p>
          <w:p w14:paraId="4D06D5DB" w14:textId="1FE50100" w:rsidR="00974DD2" w:rsidRDefault="00974DD2" w:rsidP="00ED69E6">
            <w:hyperlink r:id="rId8" w:tgtFrame="_blank" w:history="1">
              <w:r>
                <w:rPr>
                  <w:rStyle w:val="normaltextrun"/>
                  <w:rFonts w:ascii="Arial" w:hAnsi="Arial" w:cs="Arial"/>
                  <w:color w:val="0000FF"/>
                  <w:u w:val="single"/>
                  <w:shd w:val="clear" w:color="auto" w:fill="FFFFFF"/>
                </w:rPr>
                <w:t>https://le.ac.uk/people/david-cousins</w:t>
              </w:r>
            </w:hyperlink>
            <w:r>
              <w:rPr>
                <w:rStyle w:val="normaltextrun"/>
                <w:rFonts w:ascii="Arial" w:hAnsi="Arial" w:cs="Arial"/>
                <w:shd w:val="clear" w:color="auto" w:fill="FFFFFF"/>
              </w:rPr>
              <w:t> </w:t>
            </w:r>
            <w:r>
              <w:rPr>
                <w:rStyle w:val="eop"/>
                <w:rFonts w:ascii="Arial" w:hAnsi="Arial" w:cs="Arial"/>
                <w:shd w:val="clear" w:color="auto" w:fill="FFFFFF"/>
              </w:rPr>
              <w:t>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116A1A3" w:rsidR="00066C81" w:rsidRDefault="00974DD2" w:rsidP="00ED69E6">
            <w:r>
              <w:rPr>
                <w:rStyle w:val="normaltextrun"/>
                <w:rFonts w:ascii="Arial" w:hAnsi="Arial" w:cs="Arial"/>
                <w:bdr w:val="none" w:sz="0" w:space="0" w:color="auto" w:frame="1"/>
              </w:rPr>
              <w:t>Dr Michael Biddle and Dr Colleen Maxwell</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064390B6" w:rsidR="00066C81" w:rsidRPr="00974DD2" w:rsidRDefault="00974DD2" w:rsidP="00ED69E6">
            <w:r w:rsidRPr="00974DD2">
              <w:rPr>
                <w:rStyle w:val="normaltextrun"/>
                <w:rFonts w:ascii="Arial" w:hAnsi="Arial" w:cs="Arial"/>
                <w:shd w:val="clear" w:color="auto" w:fill="FFFFFF"/>
              </w:rPr>
              <w:t>Development of a robust, validated, non-animal derived toolbox to study the ageing immune system</w:t>
            </w:r>
            <w:r w:rsidRPr="00974DD2">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0A0CC78"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Summary</w:t>
            </w:r>
            <w:r>
              <w:rPr>
                <w:rStyle w:val="eop"/>
                <w:rFonts w:ascii="Arial" w:hAnsi="Arial" w:cs="Arial"/>
                <w:sz w:val="22"/>
                <w:szCs w:val="22"/>
              </w:rPr>
              <w:t> </w:t>
            </w:r>
          </w:p>
          <w:p w14:paraId="23D0E0A7"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Many developed and developing countries are experiencing a rapid demographic shift towards an ageing society. The immune system of older individuals is more susceptible to severe infections, poor vaccine responses, cancer, and inflammation. Understanding how the immune system ages is critical to overcoming these key challenges in our ageing populations. This project aims to develop a toolbox that enables the study of immune system changes as people age, and identifying ways of measuring the biological age of the immune system. These are called biomarkers of ageing – and the availability of reliable markers is a major barrier to discovery of interventions that can slow ageing. This project will address this challenge using a multidisciplinary approach with collaborators in bioinformatics, proteomics, molecular biology and industry. The assay systems developed will have scientific, commercial, and societal value.</w:t>
            </w:r>
            <w:r>
              <w:rPr>
                <w:rStyle w:val="eop"/>
                <w:rFonts w:ascii="Arial" w:hAnsi="Arial" w:cs="Arial"/>
                <w:sz w:val="22"/>
                <w:szCs w:val="22"/>
              </w:rPr>
              <w:t> </w:t>
            </w:r>
          </w:p>
          <w:p w14:paraId="1F471DF8"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Ageing immune system</w:t>
            </w:r>
            <w:r>
              <w:rPr>
                <w:rStyle w:val="eop"/>
                <w:rFonts w:ascii="Arial" w:hAnsi="Arial" w:cs="Arial"/>
                <w:sz w:val="22"/>
                <w:szCs w:val="22"/>
              </w:rPr>
              <w:t> </w:t>
            </w:r>
          </w:p>
          <w:p w14:paraId="06556885"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immune system is critical to the maintenance of health; the ageing of the immune system is associated with</w:t>
            </w:r>
            <w:r>
              <w:rPr>
                <w:rStyle w:val="normaltextrun"/>
                <w:rFonts w:ascii="Arial" w:hAnsi="Arial" w:cs="Arial"/>
                <w:sz w:val="17"/>
                <w:szCs w:val="17"/>
                <w:vertAlign w:val="superscript"/>
              </w:rPr>
              <w:t>1</w:t>
            </w:r>
            <w:r>
              <w:rPr>
                <w:rStyle w:val="normaltextrun"/>
                <w:rFonts w:ascii="Arial" w:hAnsi="Arial" w:cs="Arial"/>
                <w:sz w:val="22"/>
                <w:szCs w:val="22"/>
              </w:rPr>
              <w:t>:</w:t>
            </w:r>
            <w:r>
              <w:rPr>
                <w:rStyle w:val="eop"/>
                <w:rFonts w:ascii="Arial" w:hAnsi="Arial" w:cs="Arial"/>
                <w:sz w:val="22"/>
                <w:szCs w:val="22"/>
              </w:rPr>
              <w:t> </w:t>
            </w:r>
          </w:p>
          <w:p w14:paraId="15977D5A" w14:textId="77777777" w:rsidR="00974DD2" w:rsidRDefault="00974DD2" w:rsidP="00974DD2">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Impaired immunity </w:t>
            </w:r>
            <w:r>
              <w:rPr>
                <w:rStyle w:val="eop"/>
                <w:rFonts w:ascii="Arial" w:hAnsi="Arial" w:cs="Arial"/>
                <w:sz w:val="22"/>
                <w:szCs w:val="22"/>
              </w:rPr>
              <w:t> </w:t>
            </w:r>
          </w:p>
          <w:p w14:paraId="6FB0A0A9" w14:textId="77777777" w:rsidR="00974DD2" w:rsidRDefault="00974DD2" w:rsidP="00974DD2">
            <w:pPr>
              <w:pStyle w:val="paragraph"/>
              <w:numPr>
                <w:ilvl w:val="0"/>
                <w:numId w:val="3"/>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increased susceptibility to infections </w:t>
            </w:r>
            <w:r>
              <w:rPr>
                <w:rStyle w:val="eop"/>
                <w:rFonts w:ascii="Arial" w:hAnsi="Arial" w:cs="Arial"/>
                <w:sz w:val="22"/>
                <w:szCs w:val="22"/>
              </w:rPr>
              <w:t> </w:t>
            </w:r>
          </w:p>
          <w:p w14:paraId="661071B9" w14:textId="77777777" w:rsidR="00974DD2" w:rsidRDefault="00974DD2" w:rsidP="00974DD2">
            <w:pPr>
              <w:pStyle w:val="paragraph"/>
              <w:numPr>
                <w:ilvl w:val="0"/>
                <w:numId w:val="4"/>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reactivation of chronic viral infections</w:t>
            </w:r>
            <w:r>
              <w:rPr>
                <w:rStyle w:val="eop"/>
                <w:rFonts w:ascii="Arial" w:hAnsi="Arial" w:cs="Arial"/>
                <w:sz w:val="22"/>
                <w:szCs w:val="22"/>
              </w:rPr>
              <w:t> </w:t>
            </w:r>
          </w:p>
          <w:p w14:paraId="1FE7A9A4" w14:textId="77777777" w:rsidR="00974DD2" w:rsidRDefault="00974DD2" w:rsidP="00974DD2">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Reduced vaccine responses</w:t>
            </w:r>
            <w:r>
              <w:rPr>
                <w:rStyle w:val="eop"/>
                <w:rFonts w:ascii="Arial" w:hAnsi="Arial" w:cs="Arial"/>
                <w:sz w:val="22"/>
                <w:szCs w:val="22"/>
              </w:rPr>
              <w:t> </w:t>
            </w:r>
          </w:p>
          <w:p w14:paraId="1563AD7B" w14:textId="77777777" w:rsidR="00974DD2" w:rsidRDefault="00974DD2" w:rsidP="00974DD2">
            <w:pPr>
              <w:pStyle w:val="paragraph"/>
              <w:numPr>
                <w:ilvl w:val="0"/>
                <w:numId w:val="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Weakened protection against the development of malignancies</w:t>
            </w:r>
            <w:r>
              <w:rPr>
                <w:rStyle w:val="eop"/>
                <w:rFonts w:ascii="Arial" w:hAnsi="Arial" w:cs="Arial"/>
                <w:sz w:val="22"/>
                <w:szCs w:val="22"/>
              </w:rPr>
              <w:t> </w:t>
            </w:r>
          </w:p>
          <w:p w14:paraId="2C03044D" w14:textId="77777777" w:rsidR="00974DD2" w:rsidRDefault="00974DD2" w:rsidP="00974DD2">
            <w:pPr>
              <w:pStyle w:val="paragraph"/>
              <w:numPr>
                <w:ilvl w:val="0"/>
                <w:numId w:val="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Predisposition to inflammatory diseases</w:t>
            </w:r>
            <w:r>
              <w:rPr>
                <w:rStyle w:val="eop"/>
                <w:rFonts w:ascii="Arial" w:hAnsi="Arial" w:cs="Arial"/>
                <w:sz w:val="22"/>
                <w:szCs w:val="22"/>
              </w:rPr>
              <w:t> </w:t>
            </w:r>
          </w:p>
          <w:p w14:paraId="0AC8D5CB" w14:textId="77777777" w:rsidR="00974DD2" w:rsidRDefault="00974DD2" w:rsidP="00974DD2">
            <w:pPr>
              <w:pStyle w:val="paragraph"/>
              <w:numPr>
                <w:ilvl w:val="0"/>
                <w:numId w:val="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Weaker/dysregulated wound repair </w:t>
            </w:r>
            <w:r>
              <w:rPr>
                <w:rStyle w:val="eop"/>
                <w:rFonts w:ascii="Arial" w:hAnsi="Arial" w:cs="Arial"/>
                <w:sz w:val="22"/>
                <w:szCs w:val="22"/>
              </w:rPr>
              <w:t> </w:t>
            </w:r>
          </w:p>
          <w:p w14:paraId="55BE7BBA"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Ageing results in shrinkage of the thymus - the source of T cells, which decline in number and function. The balance between adaptive and innate immunity changes, favouring the development of inflammation. Immunocytes display shortening of telomeres, dysregulation of redox balance, and accumulation of DNA damage. Immunocytes become senescent with age, meaning they continue to survive and secrete proinflammatory mediators, but no longer proliferate. Some animal models suggest that targeting </w:t>
            </w:r>
            <w:proofErr w:type="spellStart"/>
            <w:r>
              <w:rPr>
                <w:rStyle w:val="normaltextrun"/>
                <w:rFonts w:ascii="Arial" w:hAnsi="Arial" w:cs="Arial"/>
                <w:sz w:val="22"/>
                <w:szCs w:val="22"/>
              </w:rPr>
              <w:t>immunosenescence</w:t>
            </w:r>
            <w:proofErr w:type="spellEnd"/>
            <w:r>
              <w:rPr>
                <w:rStyle w:val="normaltextrun"/>
                <w:rFonts w:ascii="Arial" w:hAnsi="Arial" w:cs="Arial"/>
                <w:sz w:val="22"/>
                <w:szCs w:val="22"/>
              </w:rPr>
              <w:t xml:space="preserve"> has the potential to halt ageing.</w:t>
            </w:r>
            <w:r>
              <w:rPr>
                <w:rStyle w:val="eop"/>
                <w:rFonts w:ascii="Arial" w:hAnsi="Arial" w:cs="Arial"/>
                <w:sz w:val="22"/>
                <w:szCs w:val="22"/>
              </w:rPr>
              <w:t> </w:t>
            </w:r>
          </w:p>
          <w:p w14:paraId="079D6424"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 challenge to our understanding, and towards developing interventions to slow ageing, is the availability of </w:t>
            </w:r>
            <w:hyperlink r:id="rId9" w:tgtFrame="_blank" w:history="1">
              <w:r>
                <w:rPr>
                  <w:rStyle w:val="normaltextrun"/>
                  <w:rFonts w:ascii="Arial" w:hAnsi="Arial" w:cs="Arial"/>
                  <w:color w:val="0000FF"/>
                  <w:sz w:val="22"/>
                  <w:szCs w:val="22"/>
                </w:rPr>
                <w:t>robust biomarkers of ageing</w:t>
              </w:r>
            </w:hyperlink>
            <w:r>
              <w:rPr>
                <w:rStyle w:val="normaltextrun"/>
                <w:rFonts w:ascii="Arial" w:hAnsi="Arial" w:cs="Arial"/>
                <w:sz w:val="22"/>
                <w:szCs w:val="22"/>
              </w:rPr>
              <w:t>. These are molecules associated with biological age and predictive of lifespan. Without robust biomarkers, the study of ageing is dependent on expensive and slow longitudinal studies.</w:t>
            </w:r>
            <w:r>
              <w:rPr>
                <w:rStyle w:val="eop"/>
                <w:rFonts w:ascii="Arial" w:hAnsi="Arial" w:cs="Arial"/>
                <w:sz w:val="22"/>
                <w:szCs w:val="22"/>
              </w:rPr>
              <w:t> </w:t>
            </w:r>
          </w:p>
          <w:p w14:paraId="3C177D30"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Ageing biomarkers</w:t>
            </w:r>
            <w:r>
              <w:rPr>
                <w:rStyle w:val="eop"/>
                <w:rFonts w:ascii="Arial" w:hAnsi="Arial" w:cs="Arial"/>
                <w:sz w:val="22"/>
                <w:szCs w:val="22"/>
              </w:rPr>
              <w:t> </w:t>
            </w:r>
          </w:p>
          <w:p w14:paraId="6C2A788C"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Towards robust biomarkers for ageing, a consortium of scientists is sharing open  </w:t>
            </w:r>
            <w:hyperlink r:id="rId10" w:tgtFrame="_blank" w:history="1">
              <w:r>
                <w:rPr>
                  <w:rStyle w:val="normaltextrun"/>
                  <w:rFonts w:ascii="Arial" w:hAnsi="Arial" w:cs="Arial"/>
                  <w:color w:val="0000FF"/>
                  <w:sz w:val="22"/>
                  <w:szCs w:val="22"/>
                </w:rPr>
                <w:t>transcriptomic and proteomic data</w:t>
              </w:r>
            </w:hyperlink>
            <w:r>
              <w:rPr>
                <w:rStyle w:val="normaltextrun"/>
                <w:rFonts w:ascii="Arial" w:hAnsi="Arial" w:cs="Arial"/>
                <w:sz w:val="22"/>
                <w:szCs w:val="22"/>
              </w:rPr>
              <w:t xml:space="preserve">.  These contain putative markers of biological age, with some validation data. The scaling of these into robust reproducible commercial assays, for deployment in biotech R&amp;D, has the potential to accelerate ageing research. </w:t>
            </w:r>
            <w:r>
              <w:rPr>
                <w:rStyle w:val="normaltextrun"/>
                <w:rFonts w:ascii="Arial" w:hAnsi="Arial" w:cs="Arial"/>
                <w:sz w:val="22"/>
                <w:szCs w:val="22"/>
              </w:rPr>
              <w:lastRenderedPageBreak/>
              <w:t>Recombinant antibodies against key molecules represent scalable non-animal reagents, that can be deployed to characterise the expression of putative aging biomarkers in leukocytes and/or plasma. Such validated quantitative assays would hold high commercial and societal value.</w:t>
            </w:r>
            <w:r>
              <w:rPr>
                <w:rStyle w:val="eop"/>
                <w:rFonts w:ascii="Arial" w:hAnsi="Arial" w:cs="Arial"/>
                <w:sz w:val="22"/>
                <w:szCs w:val="22"/>
              </w:rPr>
              <w:t> </w:t>
            </w:r>
          </w:p>
          <w:p w14:paraId="345F7218"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Unfortunately, a large portion of antibodies currently used in research (particularly animal derived) are not fit for purpose, thwarting the discovery of ageing mechanisms and biomarkers. We recently showed that out of 614 antibodies widely used in neuroscience, &gt;50% had poor performance in 3 commonly used applications</w:t>
            </w:r>
            <w:r>
              <w:rPr>
                <w:rStyle w:val="normaltextrun"/>
                <w:rFonts w:ascii="Arial" w:hAnsi="Arial" w:cs="Arial"/>
                <w:sz w:val="17"/>
                <w:szCs w:val="17"/>
                <w:vertAlign w:val="superscript"/>
              </w:rPr>
              <w:t>2</w:t>
            </w:r>
            <w:r>
              <w:rPr>
                <w:rStyle w:val="normaltextrun"/>
                <w:rFonts w:ascii="Arial" w:hAnsi="Arial" w:cs="Arial"/>
                <w:sz w:val="22"/>
                <w:szCs w:val="22"/>
              </w:rPr>
              <w:t xml:space="preserve">. Our laboratory is the immunology lead for an international industry-academic </w:t>
            </w:r>
            <w:hyperlink r:id="rId11" w:tgtFrame="_blank" w:history="1">
              <w:r>
                <w:rPr>
                  <w:rStyle w:val="normaltextrun"/>
                  <w:rFonts w:ascii="Arial" w:hAnsi="Arial" w:cs="Arial"/>
                  <w:color w:val="0000FF"/>
                  <w:sz w:val="22"/>
                  <w:szCs w:val="22"/>
                </w:rPr>
                <w:t>open science partnership</w:t>
              </w:r>
            </w:hyperlink>
            <w:r>
              <w:rPr>
                <w:rStyle w:val="normaltextrun"/>
                <w:rFonts w:ascii="Arial" w:hAnsi="Arial" w:cs="Arial"/>
                <w:sz w:val="22"/>
                <w:szCs w:val="22"/>
              </w:rPr>
              <w:t xml:space="preserve"> with 13 commercial antibody manufacturers (who contribute antibodies and KO cell lines in-kind). Together we have identified robust tools to accelerate research into neurodegeneration and immune ageing. </w:t>
            </w:r>
            <w:r>
              <w:rPr>
                <w:rStyle w:val="eop"/>
                <w:rFonts w:ascii="Arial" w:hAnsi="Arial" w:cs="Arial"/>
                <w:sz w:val="22"/>
                <w:szCs w:val="22"/>
              </w:rPr>
              <w:t> </w:t>
            </w:r>
          </w:p>
          <w:p w14:paraId="4CA8D776"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Objectives and methods</w:t>
            </w:r>
            <w:r>
              <w:rPr>
                <w:rStyle w:val="eop"/>
                <w:rFonts w:ascii="Arial" w:hAnsi="Arial" w:cs="Arial"/>
                <w:sz w:val="22"/>
                <w:szCs w:val="22"/>
              </w:rPr>
              <w:t> </w:t>
            </w:r>
          </w:p>
          <w:p w14:paraId="045EB46B" w14:textId="77777777" w:rsidR="00974DD2" w:rsidRDefault="00974DD2" w:rsidP="00974DD2">
            <w:pPr>
              <w:pStyle w:val="paragraph"/>
              <w:numPr>
                <w:ilvl w:val="0"/>
                <w:numId w:val="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Utilise open datasets to prioritise key potential biomarkers of the ageing immune system</w:t>
            </w:r>
            <w:r>
              <w:rPr>
                <w:rStyle w:val="eop"/>
                <w:rFonts w:ascii="Arial" w:hAnsi="Arial" w:cs="Arial"/>
                <w:sz w:val="22"/>
                <w:szCs w:val="22"/>
              </w:rPr>
              <w:t> </w:t>
            </w:r>
          </w:p>
          <w:p w14:paraId="403C2B96" w14:textId="77777777" w:rsidR="00974DD2" w:rsidRDefault="00974DD2" w:rsidP="00974DD2">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5F60F49A" w14:textId="77777777" w:rsidR="00974DD2" w:rsidRDefault="00974DD2" w:rsidP="00974DD2">
            <w:pPr>
              <w:pStyle w:val="paragraph"/>
              <w:numPr>
                <w:ilvl w:val="0"/>
                <w:numId w:val="1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Develop robustly validated recombinant flow cytometry and ELISA panels to study key age-associated molecules in the immune system</w:t>
            </w:r>
            <w:r>
              <w:rPr>
                <w:rStyle w:val="eop"/>
                <w:rFonts w:ascii="Arial" w:hAnsi="Arial" w:cs="Arial"/>
                <w:sz w:val="22"/>
                <w:szCs w:val="22"/>
              </w:rPr>
              <w:t> </w:t>
            </w:r>
          </w:p>
          <w:p w14:paraId="2594B35B" w14:textId="77777777" w:rsidR="00974DD2" w:rsidRDefault="00974DD2" w:rsidP="00974DD2">
            <w:pPr>
              <w:pStyle w:val="paragraph"/>
              <w:numPr>
                <w:ilvl w:val="0"/>
                <w:numId w:val="11"/>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Telomere maintenance enzymes</w:t>
            </w:r>
            <w:r>
              <w:rPr>
                <w:rStyle w:val="eop"/>
                <w:rFonts w:ascii="Arial" w:hAnsi="Arial" w:cs="Arial"/>
                <w:sz w:val="22"/>
                <w:szCs w:val="22"/>
              </w:rPr>
              <w:t> </w:t>
            </w:r>
          </w:p>
          <w:p w14:paraId="54B163C1" w14:textId="77777777" w:rsidR="00974DD2" w:rsidRDefault="00974DD2" w:rsidP="00974DD2">
            <w:pPr>
              <w:pStyle w:val="paragraph"/>
              <w:numPr>
                <w:ilvl w:val="0"/>
                <w:numId w:val="12"/>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DNA repair enzymes</w:t>
            </w:r>
            <w:r>
              <w:rPr>
                <w:rStyle w:val="eop"/>
                <w:rFonts w:ascii="Arial" w:hAnsi="Arial" w:cs="Arial"/>
                <w:sz w:val="22"/>
                <w:szCs w:val="22"/>
              </w:rPr>
              <w:t> </w:t>
            </w:r>
          </w:p>
          <w:p w14:paraId="344CB7B5" w14:textId="77777777" w:rsidR="00974DD2" w:rsidRDefault="00974DD2" w:rsidP="00974DD2">
            <w:pPr>
              <w:pStyle w:val="paragraph"/>
              <w:numPr>
                <w:ilvl w:val="0"/>
                <w:numId w:val="13"/>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Redox active enzymes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NADPH oxidases)</w:t>
            </w:r>
            <w:r>
              <w:rPr>
                <w:rStyle w:val="eop"/>
                <w:rFonts w:ascii="Arial" w:hAnsi="Arial" w:cs="Arial"/>
                <w:sz w:val="22"/>
                <w:szCs w:val="22"/>
              </w:rPr>
              <w:t> </w:t>
            </w:r>
          </w:p>
          <w:p w14:paraId="7E30775D" w14:textId="77777777" w:rsidR="00974DD2" w:rsidRDefault="00974DD2" w:rsidP="00974DD2">
            <w:pPr>
              <w:pStyle w:val="paragraph"/>
              <w:numPr>
                <w:ilvl w:val="0"/>
                <w:numId w:val="14"/>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Markers identified in objective 1</w:t>
            </w:r>
            <w:r>
              <w:rPr>
                <w:rStyle w:val="eop"/>
                <w:rFonts w:ascii="Arial" w:hAnsi="Arial" w:cs="Arial"/>
                <w:sz w:val="22"/>
                <w:szCs w:val="22"/>
              </w:rPr>
              <w:t> </w:t>
            </w:r>
          </w:p>
          <w:p w14:paraId="2460181C" w14:textId="77777777" w:rsidR="00974DD2" w:rsidRDefault="00974DD2" w:rsidP="00974DD2">
            <w:pPr>
              <w:pStyle w:val="paragraph"/>
              <w:spacing w:before="0" w:beforeAutospacing="0" w:after="0" w:afterAutospacing="0"/>
              <w:ind w:left="1440"/>
              <w:jc w:val="both"/>
              <w:textAlignment w:val="baseline"/>
              <w:rPr>
                <w:rFonts w:ascii="Segoe UI" w:hAnsi="Segoe UI" w:cs="Segoe UI"/>
                <w:sz w:val="18"/>
                <w:szCs w:val="18"/>
              </w:rPr>
            </w:pPr>
            <w:r>
              <w:rPr>
                <w:rStyle w:val="eop"/>
                <w:rFonts w:ascii="Arial" w:hAnsi="Arial" w:cs="Arial"/>
                <w:sz w:val="22"/>
                <w:szCs w:val="22"/>
              </w:rPr>
              <w:t> </w:t>
            </w:r>
          </w:p>
          <w:p w14:paraId="15899E40" w14:textId="77777777" w:rsidR="00974DD2" w:rsidRDefault="00974DD2" w:rsidP="00974DD2">
            <w:pPr>
              <w:pStyle w:val="paragraph"/>
              <w:numPr>
                <w:ilvl w:val="0"/>
                <w:numId w:val="1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Obtain plasma and whole blood samples to produce preliminary validation data to confirm</w:t>
            </w:r>
            <w:r>
              <w:rPr>
                <w:rStyle w:val="eop"/>
                <w:rFonts w:ascii="Arial" w:hAnsi="Arial" w:cs="Arial"/>
                <w:sz w:val="22"/>
                <w:szCs w:val="22"/>
              </w:rPr>
              <w:t> </w:t>
            </w:r>
          </w:p>
          <w:p w14:paraId="5B88B9F1" w14:textId="77777777" w:rsidR="00974DD2" w:rsidRDefault="00974DD2" w:rsidP="00974DD2">
            <w:pPr>
              <w:pStyle w:val="paragraph"/>
              <w:numPr>
                <w:ilvl w:val="0"/>
                <w:numId w:val="16"/>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Performance of assays relative to quantitative mass spectrometry benchmark and any competitor technologies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available commercial ELISA)</w:t>
            </w:r>
            <w:r>
              <w:rPr>
                <w:rStyle w:val="eop"/>
                <w:rFonts w:ascii="Arial" w:hAnsi="Arial" w:cs="Arial"/>
                <w:sz w:val="22"/>
                <w:szCs w:val="22"/>
              </w:rPr>
              <w:t> </w:t>
            </w:r>
          </w:p>
          <w:p w14:paraId="27523156" w14:textId="77777777" w:rsidR="00974DD2" w:rsidRDefault="00974DD2" w:rsidP="00974DD2">
            <w:pPr>
              <w:pStyle w:val="paragraph"/>
              <w:numPr>
                <w:ilvl w:val="0"/>
                <w:numId w:val="17"/>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Age association of any markers in a preliminary study for future commercial exploration</w:t>
            </w:r>
            <w:r>
              <w:rPr>
                <w:rStyle w:val="eop"/>
                <w:rFonts w:ascii="Arial" w:hAnsi="Arial" w:cs="Arial"/>
                <w:sz w:val="22"/>
                <w:szCs w:val="22"/>
              </w:rPr>
              <w:t> </w:t>
            </w:r>
          </w:p>
          <w:p w14:paraId="173B8178"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Student development opportunities</w:t>
            </w:r>
            <w:r>
              <w:rPr>
                <w:rStyle w:val="eop"/>
                <w:rFonts w:ascii="Arial" w:hAnsi="Arial" w:cs="Arial"/>
                <w:sz w:val="22"/>
                <w:szCs w:val="22"/>
              </w:rPr>
              <w:t> </w:t>
            </w:r>
          </w:p>
          <w:p w14:paraId="60E2882C" w14:textId="77777777" w:rsidR="00974DD2" w:rsidRDefault="00974DD2" w:rsidP="00974DD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student will receive excellent training in cutting edge bioinformatics, molecular biology, immunology techniques used across our international industry-academic partnership. They will become part of a community of scientists advancing innovative open science practices. The student will be well positioned to explore commercial and/or academic opportunities that follow on from this work, using our extensive network of collaborators in academia and industry.</w:t>
            </w:r>
            <w:r>
              <w:rPr>
                <w:rStyle w:val="eop"/>
                <w:rFonts w:ascii="Arial" w:hAnsi="Arial" w:cs="Arial"/>
                <w:sz w:val="22"/>
                <w:szCs w:val="22"/>
              </w:rPr>
              <w:t> </w:t>
            </w:r>
          </w:p>
          <w:p w14:paraId="78DB2D09" w14:textId="77777777" w:rsidR="00066C81" w:rsidRDefault="00066C81" w:rsidP="00ED69E6">
            <w:pPr>
              <w:rPr>
                <w:b/>
              </w:rPr>
            </w:pPr>
          </w:p>
          <w:p w14:paraId="5600531E" w14:textId="15F813EC" w:rsidR="00FF61F7" w:rsidRDefault="00974DD2"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6E3458AD" w14:textId="77777777" w:rsidR="00974DD2" w:rsidRDefault="00974DD2" w:rsidP="00974DD2">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Use of large datasets within UK Biobank and </w:t>
            </w:r>
            <w:hyperlink r:id="rId12" w:tgtFrame="_blank" w:history="1">
              <w:proofErr w:type="spellStart"/>
              <w:r>
                <w:rPr>
                  <w:rStyle w:val="normaltextrun"/>
                  <w:rFonts w:ascii="Arial" w:hAnsi="Arial" w:cs="Arial"/>
                  <w:color w:val="0000FF"/>
                  <w:sz w:val="22"/>
                  <w:szCs w:val="22"/>
                  <w:u w:val="single"/>
                </w:rPr>
                <w:t>Biolearn</w:t>
              </w:r>
              <w:proofErr w:type="spellEnd"/>
            </w:hyperlink>
            <w:r>
              <w:rPr>
                <w:rStyle w:val="eop"/>
                <w:rFonts w:ascii="Arial" w:hAnsi="Arial" w:cs="Arial"/>
                <w:sz w:val="22"/>
                <w:szCs w:val="22"/>
              </w:rPr>
              <w:t> </w:t>
            </w:r>
          </w:p>
          <w:p w14:paraId="693AE87F" w14:textId="77777777" w:rsidR="00974DD2" w:rsidRDefault="00974DD2" w:rsidP="00974DD2">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Data visualisation tools</w:t>
            </w:r>
            <w:r>
              <w:rPr>
                <w:rStyle w:val="eop"/>
                <w:rFonts w:ascii="Arial" w:hAnsi="Arial" w:cs="Arial"/>
                <w:sz w:val="22"/>
                <w:szCs w:val="22"/>
              </w:rPr>
              <w:t> </w:t>
            </w:r>
          </w:p>
          <w:p w14:paraId="13F62F86" w14:textId="77777777" w:rsidR="00974DD2" w:rsidRDefault="00974DD2" w:rsidP="00974DD2">
            <w:pPr>
              <w:pStyle w:val="paragraph"/>
              <w:numPr>
                <w:ilvl w:val="0"/>
                <w:numId w:val="2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R programming language </w:t>
            </w:r>
            <w:r>
              <w:rPr>
                <w:rStyle w:val="eop"/>
                <w:rFonts w:ascii="Arial" w:hAnsi="Arial" w:cs="Arial"/>
                <w:sz w:val="22"/>
                <w:szCs w:val="22"/>
              </w:rPr>
              <w:t> </w:t>
            </w:r>
          </w:p>
          <w:p w14:paraId="6689E3EC" w14:textId="77777777" w:rsidR="00974DD2" w:rsidRDefault="00974DD2" w:rsidP="00974DD2">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CRISPR Cas 9 KO cell line generation utilising RNP transfection and screening approaches</w:t>
            </w:r>
            <w:r>
              <w:rPr>
                <w:rStyle w:val="eop"/>
                <w:rFonts w:ascii="Arial" w:hAnsi="Arial" w:cs="Arial"/>
                <w:sz w:val="22"/>
                <w:szCs w:val="22"/>
              </w:rPr>
              <w:t> </w:t>
            </w:r>
          </w:p>
          <w:p w14:paraId="52F9B012" w14:textId="77777777" w:rsidR="00974DD2" w:rsidRDefault="00974DD2" w:rsidP="00974DD2">
            <w:pPr>
              <w:pStyle w:val="paragraph"/>
              <w:numPr>
                <w:ilvl w:val="0"/>
                <w:numId w:val="2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Lentiviral expression and knockdown vector production</w:t>
            </w:r>
            <w:r>
              <w:rPr>
                <w:rStyle w:val="eop"/>
                <w:rFonts w:ascii="Arial" w:hAnsi="Arial" w:cs="Arial"/>
                <w:sz w:val="22"/>
                <w:szCs w:val="22"/>
              </w:rPr>
              <w:t> </w:t>
            </w:r>
          </w:p>
          <w:p w14:paraId="4FE48C7D" w14:textId="77777777" w:rsidR="00974DD2" w:rsidRDefault="00974DD2" w:rsidP="00974DD2">
            <w:pPr>
              <w:pStyle w:val="paragraph"/>
              <w:numPr>
                <w:ilvl w:val="0"/>
                <w:numId w:val="2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Flow cytometry and ELISA assay development and validation</w:t>
            </w:r>
            <w:r>
              <w:rPr>
                <w:rStyle w:val="eop"/>
                <w:rFonts w:ascii="Arial" w:hAnsi="Arial" w:cs="Arial"/>
                <w:sz w:val="22"/>
                <w:szCs w:val="22"/>
              </w:rPr>
              <w:t> </w:t>
            </w:r>
          </w:p>
          <w:p w14:paraId="0DEE6B1C" w14:textId="77777777" w:rsidR="00974DD2" w:rsidRDefault="00974DD2" w:rsidP="00974DD2">
            <w:pPr>
              <w:pStyle w:val="paragraph"/>
              <w:numPr>
                <w:ilvl w:val="0"/>
                <w:numId w:val="2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Multicolour flow cytometry on blood leukocytes</w:t>
            </w:r>
            <w:r>
              <w:rPr>
                <w:rStyle w:val="eop"/>
                <w:rFonts w:ascii="Arial" w:hAnsi="Arial" w:cs="Arial"/>
                <w:sz w:val="22"/>
                <w:szCs w:val="22"/>
              </w:rPr>
              <w:t> </w:t>
            </w:r>
          </w:p>
          <w:p w14:paraId="0E8FC088" w14:textId="77777777" w:rsidR="00974DD2" w:rsidRDefault="00974DD2" w:rsidP="00974DD2">
            <w:pPr>
              <w:pStyle w:val="paragraph"/>
              <w:numPr>
                <w:ilvl w:val="0"/>
                <w:numId w:val="2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ELISA with plasma samples</w:t>
            </w:r>
            <w:r>
              <w:rPr>
                <w:rStyle w:val="eop"/>
                <w:rFonts w:ascii="Arial" w:hAnsi="Arial" w:cs="Arial"/>
                <w:sz w:val="22"/>
                <w:szCs w:val="22"/>
              </w:rPr>
              <w:t> </w:t>
            </w:r>
          </w:p>
          <w:p w14:paraId="22E79A34" w14:textId="386F03E8" w:rsidR="00FF61F7" w:rsidRPr="00974DD2" w:rsidRDefault="00974DD2" w:rsidP="00ED69E6">
            <w:pPr>
              <w:pStyle w:val="paragraph"/>
              <w:numPr>
                <w:ilvl w:val="0"/>
                <w:numId w:val="2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Exploration of commercialisation opportunities</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5C7D45F4" w14:textId="77777777" w:rsidR="00974DD2" w:rsidRDefault="00974DD2" w:rsidP="00974DD2">
            <w:pPr>
              <w:pStyle w:val="paragraph"/>
              <w:numPr>
                <w:ilvl w:val="0"/>
                <w:numId w:val="18"/>
              </w:numPr>
              <w:spacing w:before="0" w:beforeAutospacing="0" w:after="0" w:afterAutospacing="0"/>
              <w:ind w:left="1080" w:firstLine="0"/>
              <w:jc w:val="both"/>
              <w:textAlignment w:val="baseline"/>
              <w:rPr>
                <w:rFonts w:ascii="Arial" w:hAnsi="Arial" w:cs="Arial"/>
                <w:sz w:val="22"/>
                <w:szCs w:val="22"/>
              </w:rPr>
            </w:pPr>
            <w:hyperlink r:id="rId13" w:tgtFrame="_blank" w:history="1">
              <w:r>
                <w:rPr>
                  <w:rStyle w:val="normaltextrun"/>
                  <w:rFonts w:ascii="Arial" w:hAnsi="Arial" w:cs="Arial"/>
                  <w:color w:val="0000FF"/>
                  <w:sz w:val="22"/>
                  <w:szCs w:val="22"/>
                  <w:u w:val="single"/>
                  <w:shd w:val="clear" w:color="auto" w:fill="FFFFFF"/>
                </w:rPr>
                <w:t>https://doi.org/10.1513%2FAnnalsATS.201602-095AW</w:t>
              </w:r>
            </w:hyperlink>
            <w:r>
              <w:rPr>
                <w:rStyle w:val="normaltextrun"/>
                <w:rFonts w:ascii="Arial" w:hAnsi="Arial" w:cs="Arial"/>
                <w:color w:val="222222"/>
                <w:sz w:val="22"/>
                <w:szCs w:val="22"/>
                <w:shd w:val="clear" w:color="auto" w:fill="FFFFFF"/>
              </w:rPr>
              <w:t xml:space="preserve"> (</w:t>
            </w:r>
            <w:r>
              <w:rPr>
                <w:rStyle w:val="normaltextrun"/>
                <w:rFonts w:ascii="Arial" w:hAnsi="Arial" w:cs="Arial"/>
                <w:i/>
                <w:iCs/>
                <w:color w:val="222222"/>
                <w:sz w:val="22"/>
                <w:szCs w:val="22"/>
                <w:shd w:val="clear" w:color="auto" w:fill="FFFFFF"/>
              </w:rPr>
              <w:t>Annals of the American Thoracic Society, 2016)</w:t>
            </w:r>
            <w:r>
              <w:rPr>
                <w:rStyle w:val="eop"/>
                <w:rFonts w:ascii="Arial" w:hAnsi="Arial" w:cs="Arial"/>
                <w:color w:val="222222"/>
                <w:sz w:val="22"/>
                <w:szCs w:val="22"/>
              </w:rPr>
              <w:t> </w:t>
            </w:r>
          </w:p>
          <w:p w14:paraId="7D2CFDBB" w14:textId="3FB2752E" w:rsidR="003A7DAE" w:rsidRPr="00974DD2" w:rsidRDefault="00974DD2" w:rsidP="00ED69E6">
            <w:pPr>
              <w:pStyle w:val="paragraph"/>
              <w:numPr>
                <w:ilvl w:val="0"/>
                <w:numId w:val="19"/>
              </w:numPr>
              <w:spacing w:before="0" w:beforeAutospacing="0" w:after="0" w:afterAutospacing="0"/>
              <w:ind w:left="1080" w:firstLine="0"/>
              <w:jc w:val="both"/>
              <w:textAlignment w:val="baseline"/>
              <w:rPr>
                <w:rFonts w:ascii="Arial" w:hAnsi="Arial" w:cs="Arial"/>
                <w:sz w:val="22"/>
                <w:szCs w:val="22"/>
              </w:rPr>
            </w:pPr>
            <w:hyperlink r:id="rId14" w:tgtFrame="_blank" w:history="1">
              <w:r>
                <w:rPr>
                  <w:rStyle w:val="normaltextrun"/>
                  <w:rFonts w:ascii="Arial" w:hAnsi="Arial" w:cs="Arial"/>
                  <w:color w:val="0000FF"/>
                  <w:sz w:val="22"/>
                  <w:szCs w:val="22"/>
                  <w:u w:val="single"/>
                  <w:shd w:val="clear" w:color="auto" w:fill="FFFFFF"/>
                </w:rPr>
                <w:t>https://doi.org/10.7554/eLife.91645.2</w:t>
              </w:r>
            </w:hyperlink>
            <w:r>
              <w:rPr>
                <w:rStyle w:val="normaltextrun"/>
                <w:rFonts w:ascii="Arial" w:hAnsi="Arial" w:cs="Arial"/>
                <w:color w:val="222222"/>
                <w:sz w:val="22"/>
                <w:szCs w:val="22"/>
                <w:shd w:val="clear" w:color="auto" w:fill="FFFFFF"/>
              </w:rPr>
              <w:t xml:space="preserve"> (</w:t>
            </w:r>
            <w:proofErr w:type="spellStart"/>
            <w:r>
              <w:rPr>
                <w:rStyle w:val="normaltextrun"/>
                <w:rFonts w:ascii="Arial" w:hAnsi="Arial" w:cs="Arial"/>
                <w:i/>
                <w:iCs/>
                <w:color w:val="222222"/>
                <w:sz w:val="22"/>
                <w:szCs w:val="22"/>
                <w:shd w:val="clear" w:color="auto" w:fill="FFFFFF"/>
              </w:rPr>
              <w:t>eLife</w:t>
            </w:r>
            <w:proofErr w:type="spellEnd"/>
            <w:r>
              <w:rPr>
                <w:rStyle w:val="normaltextrun"/>
                <w:rFonts w:ascii="Arial" w:hAnsi="Arial" w:cs="Arial"/>
                <w:i/>
                <w:iCs/>
                <w:color w:val="222222"/>
                <w:sz w:val="22"/>
                <w:szCs w:val="22"/>
                <w:shd w:val="clear" w:color="auto" w:fill="FFFFFF"/>
              </w:rPr>
              <w:t>, 2023</w:t>
            </w:r>
            <w:r>
              <w:rPr>
                <w:rStyle w:val="normaltextrun"/>
                <w:rFonts w:ascii="Arial" w:hAnsi="Arial" w:cs="Arial"/>
                <w:color w:val="222222"/>
                <w:sz w:val="22"/>
                <w:szCs w:val="22"/>
                <w:shd w:val="clear" w:color="auto" w:fill="FFFFFF"/>
              </w:rPr>
              <w:t>)</w:t>
            </w:r>
            <w:r>
              <w:rPr>
                <w:rStyle w:val="eop"/>
                <w:rFonts w:ascii="Arial" w:hAnsi="Arial" w:cs="Arial"/>
                <w:color w:val="222222"/>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1A"/>
    <w:multiLevelType w:val="multilevel"/>
    <w:tmpl w:val="5B22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D754A"/>
    <w:multiLevelType w:val="multilevel"/>
    <w:tmpl w:val="B8B6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C05A2"/>
    <w:multiLevelType w:val="multilevel"/>
    <w:tmpl w:val="83C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85964"/>
    <w:multiLevelType w:val="multilevel"/>
    <w:tmpl w:val="55FA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51023"/>
    <w:multiLevelType w:val="multilevel"/>
    <w:tmpl w:val="936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65766"/>
    <w:multiLevelType w:val="multilevel"/>
    <w:tmpl w:val="6DEC55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2C4E64"/>
    <w:multiLevelType w:val="multilevel"/>
    <w:tmpl w:val="2E36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F13BB"/>
    <w:multiLevelType w:val="multilevel"/>
    <w:tmpl w:val="31AE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03F50"/>
    <w:multiLevelType w:val="multilevel"/>
    <w:tmpl w:val="281CF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E974FE"/>
    <w:multiLevelType w:val="multilevel"/>
    <w:tmpl w:val="2DD6EA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4C560D"/>
    <w:multiLevelType w:val="multilevel"/>
    <w:tmpl w:val="0940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F66CE"/>
    <w:multiLevelType w:val="multilevel"/>
    <w:tmpl w:val="957A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003A6"/>
    <w:multiLevelType w:val="multilevel"/>
    <w:tmpl w:val="5F0A9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69124D8"/>
    <w:multiLevelType w:val="multilevel"/>
    <w:tmpl w:val="752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3A289D"/>
    <w:multiLevelType w:val="multilevel"/>
    <w:tmpl w:val="9D42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C1247C"/>
    <w:multiLevelType w:val="multilevel"/>
    <w:tmpl w:val="BD82A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B75FA"/>
    <w:multiLevelType w:val="multilevel"/>
    <w:tmpl w:val="8046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1241A4"/>
    <w:multiLevelType w:val="multilevel"/>
    <w:tmpl w:val="D2D81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826D62"/>
    <w:multiLevelType w:val="multilevel"/>
    <w:tmpl w:val="4E94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652CB3"/>
    <w:multiLevelType w:val="multilevel"/>
    <w:tmpl w:val="32FC77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15D8E"/>
    <w:multiLevelType w:val="multilevel"/>
    <w:tmpl w:val="D3EC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B151C"/>
    <w:multiLevelType w:val="multilevel"/>
    <w:tmpl w:val="20D03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68D2030"/>
    <w:multiLevelType w:val="multilevel"/>
    <w:tmpl w:val="25D6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C91FF7"/>
    <w:multiLevelType w:val="multilevel"/>
    <w:tmpl w:val="043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D56943"/>
    <w:multiLevelType w:val="multilevel"/>
    <w:tmpl w:val="FD346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023D18"/>
    <w:multiLevelType w:val="multilevel"/>
    <w:tmpl w:val="1E6EE5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D84298F"/>
    <w:multiLevelType w:val="multilevel"/>
    <w:tmpl w:val="0BB45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0"/>
  </w:num>
  <w:num w:numId="2">
    <w:abstractNumId w:val="21"/>
  </w:num>
  <w:num w:numId="3">
    <w:abstractNumId w:val="12"/>
  </w:num>
  <w:num w:numId="4">
    <w:abstractNumId w:val="27"/>
  </w:num>
  <w:num w:numId="5">
    <w:abstractNumId w:val="2"/>
  </w:num>
  <w:num w:numId="6">
    <w:abstractNumId w:val="11"/>
  </w:num>
  <w:num w:numId="7">
    <w:abstractNumId w:val="13"/>
  </w:num>
  <w:num w:numId="8">
    <w:abstractNumId w:val="1"/>
  </w:num>
  <w:num w:numId="9">
    <w:abstractNumId w:val="10"/>
  </w:num>
  <w:num w:numId="10">
    <w:abstractNumId w:val="25"/>
  </w:num>
  <w:num w:numId="11">
    <w:abstractNumId w:val="8"/>
  </w:num>
  <w:num w:numId="12">
    <w:abstractNumId w:val="26"/>
  </w:num>
  <w:num w:numId="13">
    <w:abstractNumId w:val="5"/>
  </w:num>
  <w:num w:numId="14">
    <w:abstractNumId w:val="19"/>
  </w:num>
  <w:num w:numId="15">
    <w:abstractNumId w:val="17"/>
  </w:num>
  <w:num w:numId="16">
    <w:abstractNumId w:val="22"/>
  </w:num>
  <w:num w:numId="17">
    <w:abstractNumId w:val="9"/>
  </w:num>
  <w:num w:numId="18">
    <w:abstractNumId w:val="18"/>
  </w:num>
  <w:num w:numId="19">
    <w:abstractNumId w:val="15"/>
  </w:num>
  <w:num w:numId="20">
    <w:abstractNumId w:val="7"/>
  </w:num>
  <w:num w:numId="21">
    <w:abstractNumId w:val="4"/>
  </w:num>
  <w:num w:numId="22">
    <w:abstractNumId w:val="3"/>
  </w:num>
  <w:num w:numId="23">
    <w:abstractNumId w:val="23"/>
  </w:num>
  <w:num w:numId="24">
    <w:abstractNumId w:val="6"/>
  </w:num>
  <w:num w:numId="25">
    <w:abstractNumId w:val="0"/>
  </w:num>
  <w:num w:numId="26">
    <w:abstractNumId w:val="24"/>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74DD2"/>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1574">
      <w:bodyDiv w:val="1"/>
      <w:marLeft w:val="0"/>
      <w:marRight w:val="0"/>
      <w:marTop w:val="0"/>
      <w:marBottom w:val="0"/>
      <w:divBdr>
        <w:top w:val="none" w:sz="0" w:space="0" w:color="auto"/>
        <w:left w:val="none" w:sz="0" w:space="0" w:color="auto"/>
        <w:bottom w:val="none" w:sz="0" w:space="0" w:color="auto"/>
        <w:right w:val="none" w:sz="0" w:space="0" w:color="auto"/>
      </w:divBdr>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650138762">
      <w:bodyDiv w:val="1"/>
      <w:marLeft w:val="0"/>
      <w:marRight w:val="0"/>
      <w:marTop w:val="0"/>
      <w:marBottom w:val="0"/>
      <w:divBdr>
        <w:top w:val="none" w:sz="0" w:space="0" w:color="auto"/>
        <w:left w:val="none" w:sz="0" w:space="0" w:color="auto"/>
        <w:bottom w:val="none" w:sz="0" w:space="0" w:color="auto"/>
        <w:right w:val="none" w:sz="0" w:space="0" w:color="auto"/>
      </w:divBdr>
      <w:divsChild>
        <w:div w:id="2063483147">
          <w:marLeft w:val="0"/>
          <w:marRight w:val="0"/>
          <w:marTop w:val="0"/>
          <w:marBottom w:val="0"/>
          <w:divBdr>
            <w:top w:val="none" w:sz="0" w:space="0" w:color="auto"/>
            <w:left w:val="none" w:sz="0" w:space="0" w:color="auto"/>
            <w:bottom w:val="none" w:sz="0" w:space="0" w:color="auto"/>
            <w:right w:val="none" w:sz="0" w:space="0" w:color="auto"/>
          </w:divBdr>
          <w:divsChild>
            <w:div w:id="714161545">
              <w:marLeft w:val="0"/>
              <w:marRight w:val="0"/>
              <w:marTop w:val="0"/>
              <w:marBottom w:val="0"/>
              <w:divBdr>
                <w:top w:val="none" w:sz="0" w:space="0" w:color="auto"/>
                <w:left w:val="none" w:sz="0" w:space="0" w:color="auto"/>
                <w:bottom w:val="none" w:sz="0" w:space="0" w:color="auto"/>
                <w:right w:val="none" w:sz="0" w:space="0" w:color="auto"/>
              </w:divBdr>
            </w:div>
            <w:div w:id="1480883719">
              <w:marLeft w:val="0"/>
              <w:marRight w:val="0"/>
              <w:marTop w:val="0"/>
              <w:marBottom w:val="0"/>
              <w:divBdr>
                <w:top w:val="none" w:sz="0" w:space="0" w:color="auto"/>
                <w:left w:val="none" w:sz="0" w:space="0" w:color="auto"/>
                <w:bottom w:val="none" w:sz="0" w:space="0" w:color="auto"/>
                <w:right w:val="none" w:sz="0" w:space="0" w:color="auto"/>
              </w:divBdr>
            </w:div>
            <w:div w:id="2141070872">
              <w:marLeft w:val="0"/>
              <w:marRight w:val="0"/>
              <w:marTop w:val="0"/>
              <w:marBottom w:val="0"/>
              <w:divBdr>
                <w:top w:val="none" w:sz="0" w:space="0" w:color="auto"/>
                <w:left w:val="none" w:sz="0" w:space="0" w:color="auto"/>
                <w:bottom w:val="none" w:sz="0" w:space="0" w:color="auto"/>
                <w:right w:val="none" w:sz="0" w:space="0" w:color="auto"/>
              </w:divBdr>
            </w:div>
            <w:div w:id="1844003019">
              <w:marLeft w:val="0"/>
              <w:marRight w:val="0"/>
              <w:marTop w:val="0"/>
              <w:marBottom w:val="0"/>
              <w:divBdr>
                <w:top w:val="none" w:sz="0" w:space="0" w:color="auto"/>
                <w:left w:val="none" w:sz="0" w:space="0" w:color="auto"/>
                <w:bottom w:val="none" w:sz="0" w:space="0" w:color="auto"/>
                <w:right w:val="none" w:sz="0" w:space="0" w:color="auto"/>
              </w:divBdr>
            </w:div>
            <w:div w:id="178394705">
              <w:marLeft w:val="0"/>
              <w:marRight w:val="0"/>
              <w:marTop w:val="0"/>
              <w:marBottom w:val="0"/>
              <w:divBdr>
                <w:top w:val="none" w:sz="0" w:space="0" w:color="auto"/>
                <w:left w:val="none" w:sz="0" w:space="0" w:color="auto"/>
                <w:bottom w:val="none" w:sz="0" w:space="0" w:color="auto"/>
                <w:right w:val="none" w:sz="0" w:space="0" w:color="auto"/>
              </w:divBdr>
            </w:div>
            <w:div w:id="1531794184">
              <w:marLeft w:val="0"/>
              <w:marRight w:val="0"/>
              <w:marTop w:val="0"/>
              <w:marBottom w:val="0"/>
              <w:divBdr>
                <w:top w:val="none" w:sz="0" w:space="0" w:color="auto"/>
                <w:left w:val="none" w:sz="0" w:space="0" w:color="auto"/>
                <w:bottom w:val="none" w:sz="0" w:space="0" w:color="auto"/>
                <w:right w:val="none" w:sz="0" w:space="0" w:color="auto"/>
              </w:divBdr>
            </w:div>
          </w:divsChild>
        </w:div>
        <w:div w:id="1697195833">
          <w:marLeft w:val="0"/>
          <w:marRight w:val="0"/>
          <w:marTop w:val="0"/>
          <w:marBottom w:val="0"/>
          <w:divBdr>
            <w:top w:val="none" w:sz="0" w:space="0" w:color="auto"/>
            <w:left w:val="none" w:sz="0" w:space="0" w:color="auto"/>
            <w:bottom w:val="none" w:sz="0" w:space="0" w:color="auto"/>
            <w:right w:val="none" w:sz="0" w:space="0" w:color="auto"/>
          </w:divBdr>
          <w:divsChild>
            <w:div w:id="284428188">
              <w:marLeft w:val="0"/>
              <w:marRight w:val="0"/>
              <w:marTop w:val="0"/>
              <w:marBottom w:val="0"/>
              <w:divBdr>
                <w:top w:val="none" w:sz="0" w:space="0" w:color="auto"/>
                <w:left w:val="none" w:sz="0" w:space="0" w:color="auto"/>
                <w:bottom w:val="none" w:sz="0" w:space="0" w:color="auto"/>
                <w:right w:val="none" w:sz="0" w:space="0" w:color="auto"/>
              </w:divBdr>
            </w:div>
            <w:div w:id="890381652">
              <w:marLeft w:val="0"/>
              <w:marRight w:val="0"/>
              <w:marTop w:val="0"/>
              <w:marBottom w:val="0"/>
              <w:divBdr>
                <w:top w:val="none" w:sz="0" w:space="0" w:color="auto"/>
                <w:left w:val="none" w:sz="0" w:space="0" w:color="auto"/>
                <w:bottom w:val="none" w:sz="0" w:space="0" w:color="auto"/>
                <w:right w:val="none" w:sz="0" w:space="0" w:color="auto"/>
              </w:divBdr>
            </w:div>
            <w:div w:id="1963227913">
              <w:marLeft w:val="0"/>
              <w:marRight w:val="0"/>
              <w:marTop w:val="0"/>
              <w:marBottom w:val="0"/>
              <w:divBdr>
                <w:top w:val="none" w:sz="0" w:space="0" w:color="auto"/>
                <w:left w:val="none" w:sz="0" w:space="0" w:color="auto"/>
                <w:bottom w:val="none" w:sz="0" w:space="0" w:color="auto"/>
                <w:right w:val="none" w:sz="0" w:space="0" w:color="auto"/>
              </w:divBdr>
            </w:div>
            <w:div w:id="679356402">
              <w:marLeft w:val="0"/>
              <w:marRight w:val="0"/>
              <w:marTop w:val="0"/>
              <w:marBottom w:val="0"/>
              <w:divBdr>
                <w:top w:val="none" w:sz="0" w:space="0" w:color="auto"/>
                <w:left w:val="none" w:sz="0" w:space="0" w:color="auto"/>
                <w:bottom w:val="none" w:sz="0" w:space="0" w:color="auto"/>
                <w:right w:val="none" w:sz="0" w:space="0" w:color="auto"/>
              </w:divBdr>
            </w:div>
            <w:div w:id="248468135">
              <w:marLeft w:val="0"/>
              <w:marRight w:val="0"/>
              <w:marTop w:val="0"/>
              <w:marBottom w:val="0"/>
              <w:divBdr>
                <w:top w:val="none" w:sz="0" w:space="0" w:color="auto"/>
                <w:left w:val="none" w:sz="0" w:space="0" w:color="auto"/>
                <w:bottom w:val="none" w:sz="0" w:space="0" w:color="auto"/>
                <w:right w:val="none" w:sz="0" w:space="0" w:color="auto"/>
              </w:divBdr>
            </w:div>
            <w:div w:id="1814565927">
              <w:marLeft w:val="0"/>
              <w:marRight w:val="0"/>
              <w:marTop w:val="0"/>
              <w:marBottom w:val="0"/>
              <w:divBdr>
                <w:top w:val="none" w:sz="0" w:space="0" w:color="auto"/>
                <w:left w:val="none" w:sz="0" w:space="0" w:color="auto"/>
                <w:bottom w:val="none" w:sz="0" w:space="0" w:color="auto"/>
                <w:right w:val="none" w:sz="0" w:space="0" w:color="auto"/>
              </w:divBdr>
            </w:div>
            <w:div w:id="837119333">
              <w:marLeft w:val="0"/>
              <w:marRight w:val="0"/>
              <w:marTop w:val="0"/>
              <w:marBottom w:val="0"/>
              <w:divBdr>
                <w:top w:val="none" w:sz="0" w:space="0" w:color="auto"/>
                <w:left w:val="none" w:sz="0" w:space="0" w:color="auto"/>
                <w:bottom w:val="none" w:sz="0" w:space="0" w:color="auto"/>
                <w:right w:val="none" w:sz="0" w:space="0" w:color="auto"/>
              </w:divBdr>
            </w:div>
            <w:div w:id="1968849622">
              <w:marLeft w:val="0"/>
              <w:marRight w:val="0"/>
              <w:marTop w:val="0"/>
              <w:marBottom w:val="0"/>
              <w:divBdr>
                <w:top w:val="none" w:sz="0" w:space="0" w:color="auto"/>
                <w:left w:val="none" w:sz="0" w:space="0" w:color="auto"/>
                <w:bottom w:val="none" w:sz="0" w:space="0" w:color="auto"/>
                <w:right w:val="none" w:sz="0" w:space="0" w:color="auto"/>
              </w:divBdr>
            </w:div>
            <w:div w:id="374239220">
              <w:marLeft w:val="0"/>
              <w:marRight w:val="0"/>
              <w:marTop w:val="0"/>
              <w:marBottom w:val="0"/>
              <w:divBdr>
                <w:top w:val="none" w:sz="0" w:space="0" w:color="auto"/>
                <w:left w:val="none" w:sz="0" w:space="0" w:color="auto"/>
                <w:bottom w:val="none" w:sz="0" w:space="0" w:color="auto"/>
                <w:right w:val="none" w:sz="0" w:space="0" w:color="auto"/>
              </w:divBdr>
            </w:div>
            <w:div w:id="12802400">
              <w:marLeft w:val="0"/>
              <w:marRight w:val="0"/>
              <w:marTop w:val="0"/>
              <w:marBottom w:val="0"/>
              <w:divBdr>
                <w:top w:val="none" w:sz="0" w:space="0" w:color="auto"/>
                <w:left w:val="none" w:sz="0" w:space="0" w:color="auto"/>
                <w:bottom w:val="none" w:sz="0" w:space="0" w:color="auto"/>
                <w:right w:val="none" w:sz="0" w:space="0" w:color="auto"/>
              </w:divBdr>
            </w:div>
            <w:div w:id="1448428162">
              <w:marLeft w:val="0"/>
              <w:marRight w:val="0"/>
              <w:marTop w:val="0"/>
              <w:marBottom w:val="0"/>
              <w:divBdr>
                <w:top w:val="none" w:sz="0" w:space="0" w:color="auto"/>
                <w:left w:val="none" w:sz="0" w:space="0" w:color="auto"/>
                <w:bottom w:val="none" w:sz="0" w:space="0" w:color="auto"/>
                <w:right w:val="none" w:sz="0" w:space="0" w:color="auto"/>
              </w:divBdr>
            </w:div>
            <w:div w:id="1126125521">
              <w:marLeft w:val="0"/>
              <w:marRight w:val="0"/>
              <w:marTop w:val="0"/>
              <w:marBottom w:val="0"/>
              <w:divBdr>
                <w:top w:val="none" w:sz="0" w:space="0" w:color="auto"/>
                <w:left w:val="none" w:sz="0" w:space="0" w:color="auto"/>
                <w:bottom w:val="none" w:sz="0" w:space="0" w:color="auto"/>
                <w:right w:val="none" w:sz="0" w:space="0" w:color="auto"/>
              </w:divBdr>
            </w:div>
            <w:div w:id="322393276">
              <w:marLeft w:val="0"/>
              <w:marRight w:val="0"/>
              <w:marTop w:val="0"/>
              <w:marBottom w:val="0"/>
              <w:divBdr>
                <w:top w:val="none" w:sz="0" w:space="0" w:color="auto"/>
                <w:left w:val="none" w:sz="0" w:space="0" w:color="auto"/>
                <w:bottom w:val="none" w:sz="0" w:space="0" w:color="auto"/>
                <w:right w:val="none" w:sz="0" w:space="0" w:color="auto"/>
              </w:divBdr>
            </w:div>
            <w:div w:id="1379739848">
              <w:marLeft w:val="0"/>
              <w:marRight w:val="0"/>
              <w:marTop w:val="0"/>
              <w:marBottom w:val="0"/>
              <w:divBdr>
                <w:top w:val="none" w:sz="0" w:space="0" w:color="auto"/>
                <w:left w:val="none" w:sz="0" w:space="0" w:color="auto"/>
                <w:bottom w:val="none" w:sz="0" w:space="0" w:color="auto"/>
                <w:right w:val="none" w:sz="0" w:space="0" w:color="auto"/>
              </w:divBdr>
            </w:div>
            <w:div w:id="1278676302">
              <w:marLeft w:val="0"/>
              <w:marRight w:val="0"/>
              <w:marTop w:val="0"/>
              <w:marBottom w:val="0"/>
              <w:divBdr>
                <w:top w:val="none" w:sz="0" w:space="0" w:color="auto"/>
                <w:left w:val="none" w:sz="0" w:space="0" w:color="auto"/>
                <w:bottom w:val="none" w:sz="0" w:space="0" w:color="auto"/>
                <w:right w:val="none" w:sz="0" w:space="0" w:color="auto"/>
              </w:divBdr>
            </w:div>
            <w:div w:id="299311917">
              <w:marLeft w:val="0"/>
              <w:marRight w:val="0"/>
              <w:marTop w:val="0"/>
              <w:marBottom w:val="0"/>
              <w:divBdr>
                <w:top w:val="none" w:sz="0" w:space="0" w:color="auto"/>
                <w:left w:val="none" w:sz="0" w:space="0" w:color="auto"/>
                <w:bottom w:val="none" w:sz="0" w:space="0" w:color="auto"/>
                <w:right w:val="none" w:sz="0" w:space="0" w:color="auto"/>
              </w:divBdr>
            </w:div>
            <w:div w:id="170612647">
              <w:marLeft w:val="0"/>
              <w:marRight w:val="0"/>
              <w:marTop w:val="0"/>
              <w:marBottom w:val="0"/>
              <w:divBdr>
                <w:top w:val="none" w:sz="0" w:space="0" w:color="auto"/>
                <w:left w:val="none" w:sz="0" w:space="0" w:color="auto"/>
                <w:bottom w:val="none" w:sz="0" w:space="0" w:color="auto"/>
                <w:right w:val="none" w:sz="0" w:space="0" w:color="auto"/>
              </w:divBdr>
            </w:div>
            <w:div w:id="388694981">
              <w:marLeft w:val="0"/>
              <w:marRight w:val="0"/>
              <w:marTop w:val="0"/>
              <w:marBottom w:val="0"/>
              <w:divBdr>
                <w:top w:val="none" w:sz="0" w:space="0" w:color="auto"/>
                <w:left w:val="none" w:sz="0" w:space="0" w:color="auto"/>
                <w:bottom w:val="none" w:sz="0" w:space="0" w:color="auto"/>
                <w:right w:val="none" w:sz="0" w:space="0" w:color="auto"/>
              </w:divBdr>
            </w:div>
            <w:div w:id="860750153">
              <w:marLeft w:val="0"/>
              <w:marRight w:val="0"/>
              <w:marTop w:val="0"/>
              <w:marBottom w:val="0"/>
              <w:divBdr>
                <w:top w:val="none" w:sz="0" w:space="0" w:color="auto"/>
                <w:left w:val="none" w:sz="0" w:space="0" w:color="auto"/>
                <w:bottom w:val="none" w:sz="0" w:space="0" w:color="auto"/>
                <w:right w:val="none" w:sz="0" w:space="0" w:color="auto"/>
              </w:divBdr>
            </w:div>
            <w:div w:id="1603762998">
              <w:marLeft w:val="0"/>
              <w:marRight w:val="0"/>
              <w:marTop w:val="0"/>
              <w:marBottom w:val="0"/>
              <w:divBdr>
                <w:top w:val="none" w:sz="0" w:space="0" w:color="auto"/>
                <w:left w:val="none" w:sz="0" w:space="0" w:color="auto"/>
                <w:bottom w:val="none" w:sz="0" w:space="0" w:color="auto"/>
                <w:right w:val="none" w:sz="0" w:space="0" w:color="auto"/>
              </w:divBdr>
            </w:div>
          </w:divsChild>
        </w:div>
        <w:div w:id="395055223">
          <w:marLeft w:val="0"/>
          <w:marRight w:val="0"/>
          <w:marTop w:val="0"/>
          <w:marBottom w:val="0"/>
          <w:divBdr>
            <w:top w:val="none" w:sz="0" w:space="0" w:color="auto"/>
            <w:left w:val="none" w:sz="0" w:space="0" w:color="auto"/>
            <w:bottom w:val="none" w:sz="0" w:space="0" w:color="auto"/>
            <w:right w:val="none" w:sz="0" w:space="0" w:color="auto"/>
          </w:divBdr>
          <w:divsChild>
            <w:div w:id="950362499">
              <w:marLeft w:val="0"/>
              <w:marRight w:val="0"/>
              <w:marTop w:val="0"/>
              <w:marBottom w:val="0"/>
              <w:divBdr>
                <w:top w:val="none" w:sz="0" w:space="0" w:color="auto"/>
                <w:left w:val="none" w:sz="0" w:space="0" w:color="auto"/>
                <w:bottom w:val="none" w:sz="0" w:space="0" w:color="auto"/>
                <w:right w:val="none" w:sz="0" w:space="0" w:color="auto"/>
              </w:divBdr>
            </w:div>
            <w:div w:id="459421429">
              <w:marLeft w:val="0"/>
              <w:marRight w:val="0"/>
              <w:marTop w:val="0"/>
              <w:marBottom w:val="0"/>
              <w:divBdr>
                <w:top w:val="none" w:sz="0" w:space="0" w:color="auto"/>
                <w:left w:val="none" w:sz="0" w:space="0" w:color="auto"/>
                <w:bottom w:val="none" w:sz="0" w:space="0" w:color="auto"/>
                <w:right w:val="none" w:sz="0" w:space="0" w:color="auto"/>
              </w:divBdr>
            </w:div>
            <w:div w:id="1624965514">
              <w:marLeft w:val="0"/>
              <w:marRight w:val="0"/>
              <w:marTop w:val="0"/>
              <w:marBottom w:val="0"/>
              <w:divBdr>
                <w:top w:val="none" w:sz="0" w:space="0" w:color="auto"/>
                <w:left w:val="none" w:sz="0" w:space="0" w:color="auto"/>
                <w:bottom w:val="none" w:sz="0" w:space="0" w:color="auto"/>
                <w:right w:val="none" w:sz="0" w:space="0" w:color="auto"/>
              </w:divBdr>
            </w:div>
            <w:div w:id="1285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768">
      <w:bodyDiv w:val="1"/>
      <w:marLeft w:val="0"/>
      <w:marRight w:val="0"/>
      <w:marTop w:val="0"/>
      <w:marBottom w:val="0"/>
      <w:divBdr>
        <w:top w:val="none" w:sz="0" w:space="0" w:color="auto"/>
        <w:left w:val="none" w:sz="0" w:space="0" w:color="auto"/>
        <w:bottom w:val="none" w:sz="0" w:space="0" w:color="auto"/>
        <w:right w:val="none" w:sz="0" w:space="0" w:color="auto"/>
      </w:divBdr>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people/david-cousins" TargetMode="External"/><Relationship Id="rId13" Type="http://schemas.openxmlformats.org/officeDocument/2006/relationships/hyperlink" Target="https://doi.org/10.1513%2FAnnalsATS.201602-095AW" TargetMode="External"/><Relationship Id="rId3" Type="http://schemas.openxmlformats.org/officeDocument/2006/relationships/settings" Target="settings.xml"/><Relationship Id="rId7" Type="http://schemas.openxmlformats.org/officeDocument/2006/relationships/hyperlink" Target="mailto:dc282@leicester.ac.uk" TargetMode="External"/><Relationship Id="rId12" Type="http://schemas.openxmlformats.org/officeDocument/2006/relationships/hyperlink" Target="https://www.agingconsortiu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ac.uk/people/harvinder-virk" TargetMode="External"/><Relationship Id="rId11" Type="http://schemas.openxmlformats.org/officeDocument/2006/relationships/hyperlink" Target="https://f1000research.com/gateways/ycharos/about-this-gateway" TargetMode="External"/><Relationship Id="rId5" Type="http://schemas.openxmlformats.org/officeDocument/2006/relationships/hyperlink" Target="mailto:hsv6@leicester.ac.uk" TargetMode="External"/><Relationship Id="rId15" Type="http://schemas.openxmlformats.org/officeDocument/2006/relationships/fontTable" Target="fontTable.xml"/><Relationship Id="rId10" Type="http://schemas.openxmlformats.org/officeDocument/2006/relationships/hyperlink" Target="https://bio-learn.github.io/data.html" TargetMode="External"/><Relationship Id="rId4" Type="http://schemas.openxmlformats.org/officeDocument/2006/relationships/webSettings" Target="webSettings.xml"/><Relationship Id="rId9" Type="http://schemas.openxmlformats.org/officeDocument/2006/relationships/hyperlink" Target="https://www.agingconsortium.org/" TargetMode="External"/><Relationship Id="rId14" Type="http://schemas.openxmlformats.org/officeDocument/2006/relationships/hyperlink" Target="https://doi.org/10.7554/eLife.916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2</cp:revision>
  <dcterms:created xsi:type="dcterms:W3CDTF">2024-11-14T10:00:00Z</dcterms:created>
  <dcterms:modified xsi:type="dcterms:W3CDTF">2024-11-14T10:00:00Z</dcterms:modified>
</cp:coreProperties>
</file>