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6236697D" w:rsidR="00066C81" w:rsidRPr="005A3C23" w:rsidRDefault="005A3C23" w:rsidP="00066C81">
            <w:r w:rsidRPr="005A3C23">
              <w:rPr>
                <w:rStyle w:val="normaltextrun"/>
                <w:rFonts w:ascii="Arial" w:hAnsi="Arial" w:cs="Arial"/>
                <w:shd w:val="clear" w:color="auto" w:fill="FFFFFF"/>
              </w:rPr>
              <w:t>Professor Galina Mukamolova</w:t>
            </w:r>
            <w:r w:rsidRPr="005A3C23">
              <w:rPr>
                <w:rStyle w:val="eop"/>
                <w:rFonts w:ascii="Arial" w:hAnsi="Arial" w:cs="Arial"/>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4B7CB5EB" w:rsidR="00066C81" w:rsidRPr="00066C81" w:rsidRDefault="005A3C23" w:rsidP="00066C81">
            <w:r>
              <w:rPr>
                <w:rStyle w:val="normaltextrun"/>
                <w:rFonts w:ascii="Arial" w:hAnsi="Arial" w:cs="Arial"/>
                <w:shd w:val="clear" w:color="auto" w:fill="FFFFFF"/>
              </w:rPr>
              <w:t>Department of Respiratory Sciences</w:t>
            </w:r>
            <w:r>
              <w:rPr>
                <w:rStyle w:val="eop"/>
                <w:rFonts w:ascii="Arial" w:hAnsi="Arial" w:cs="Arial"/>
                <w:shd w:val="clear" w:color="auto" w:fill="FFFFFF"/>
              </w:rPr>
              <w:t> </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4A115702" w14:textId="77777777" w:rsidR="00C97F86" w:rsidRDefault="005A3C23" w:rsidP="00066C81">
            <w:pPr>
              <w:rPr>
                <w:rStyle w:val="eop"/>
              </w:rPr>
            </w:pPr>
            <w:hyperlink r:id="rId5" w:history="1">
              <w:r w:rsidRPr="00C32AA1">
                <w:rPr>
                  <w:rStyle w:val="Hyperlink"/>
                  <w:rFonts w:ascii="Arial" w:hAnsi="Arial" w:cs="Arial"/>
                  <w:shd w:val="clear" w:color="auto" w:fill="FFFFFF"/>
                </w:rPr>
                <w:t>gvm4@leicester.ac.uk</w:t>
              </w:r>
            </w:hyperlink>
            <w:r>
              <w:rPr>
                <w:rStyle w:val="eop"/>
              </w:rPr>
              <w:t xml:space="preserve"> </w:t>
            </w:r>
          </w:p>
          <w:p w14:paraId="28BF855B" w14:textId="38AB4A52" w:rsidR="005A3C23" w:rsidRPr="00066C81" w:rsidRDefault="005A3C23" w:rsidP="00066C81">
            <w:hyperlink r:id="rId6" w:history="1">
              <w:r w:rsidRPr="00C32AA1">
                <w:rPr>
                  <w:rStyle w:val="Hyperlink"/>
                  <w:rFonts w:ascii="Arial" w:hAnsi="Arial" w:cs="Arial"/>
                  <w:shd w:val="clear" w:color="auto" w:fill="FFFFFF"/>
                </w:rPr>
                <w:t>https://le.ac.uk/people/galina-mukamolova</w:t>
              </w:r>
            </w:hyperlink>
            <w:r>
              <w:rPr>
                <w:rStyle w:val="eop"/>
                <w:rFonts w:ascii="Arial" w:hAnsi="Arial" w:cs="Arial"/>
                <w:shd w:val="clear" w:color="auto" w:fill="FFFFFF"/>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59B7CA9B" w:rsidR="00066C81" w:rsidRPr="005A3C23" w:rsidRDefault="005A3C23" w:rsidP="00ED69E6">
            <w:r w:rsidRPr="005A3C23">
              <w:rPr>
                <w:rStyle w:val="normaltextrun"/>
                <w:rFonts w:ascii="Arial" w:hAnsi="Arial" w:cs="Arial"/>
                <w:shd w:val="clear" w:color="auto" w:fill="FFFFFF"/>
              </w:rPr>
              <w:t>Dr Helen O’Hare</w:t>
            </w:r>
            <w:r w:rsidRPr="005A3C23">
              <w:rPr>
                <w:rStyle w:val="eop"/>
                <w:rFonts w:ascii="Arial" w:hAnsi="Arial" w:cs="Arial"/>
                <w:shd w:val="clear" w:color="auto" w:fill="FFFFFF"/>
              </w:rPr>
              <w:t> </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1AC9CA17" w:rsidR="00066C81" w:rsidRDefault="005A3C23" w:rsidP="00ED69E6">
            <w:r>
              <w:rPr>
                <w:rStyle w:val="normaltextrun"/>
                <w:rFonts w:ascii="Arial" w:hAnsi="Arial" w:cs="Arial"/>
                <w:shd w:val="clear" w:color="auto" w:fill="FFFFFF"/>
              </w:rPr>
              <w:t>Department of Respiratory Sciences</w:t>
            </w:r>
            <w:r>
              <w:rPr>
                <w:rStyle w:val="eop"/>
                <w:rFonts w:ascii="Arial" w:hAnsi="Arial" w:cs="Arial"/>
                <w:shd w:val="clear" w:color="auto" w:fill="FFFFFF"/>
              </w:rPr>
              <w:t> </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20131074" w:rsidR="003A7DAE" w:rsidRDefault="005A3C23" w:rsidP="00ED69E6">
            <w:r>
              <w:rPr>
                <w:rStyle w:val="normaltextrun"/>
                <w:rFonts w:ascii="Arial" w:hAnsi="Arial" w:cs="Arial"/>
                <w:shd w:val="clear" w:color="auto" w:fill="FFFFFF"/>
              </w:rPr>
              <w:t>hmo7@leicester.ac.uk</w:t>
            </w:r>
            <w:r>
              <w:rPr>
                <w:rStyle w:val="eop"/>
                <w:rFonts w:ascii="Arial" w:hAnsi="Arial" w:cs="Arial"/>
                <w:shd w:val="clear" w:color="auto" w:fill="FFFFFF"/>
              </w:rPr>
              <w:t>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43FFB88F" w:rsidR="00066C81" w:rsidRPr="005A3C23" w:rsidRDefault="005A3C23" w:rsidP="00ED69E6">
            <w:r w:rsidRPr="005A3C23">
              <w:rPr>
                <w:rStyle w:val="normaltextrun"/>
                <w:rFonts w:ascii="Arial" w:hAnsi="Arial" w:cs="Arial"/>
                <w:caps/>
                <w:shd w:val="clear" w:color="auto" w:fill="FFFFFF"/>
              </w:rPr>
              <w:t>Self control: regulating expression of essential protein kinases in mycobacteria</w:t>
            </w:r>
            <w:r w:rsidRPr="005A3C23">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3F5711E5" w14:textId="77777777" w:rsidR="005A3C23" w:rsidRDefault="005A3C23" w:rsidP="005A3C23">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i/>
                <w:iCs/>
                <w:sz w:val="22"/>
                <w:szCs w:val="22"/>
              </w:rPr>
              <w:t>Background</w:t>
            </w:r>
            <w:r>
              <w:rPr>
                <w:rStyle w:val="eop"/>
                <w:rFonts w:ascii="Tahoma" w:hAnsi="Tahoma" w:cs="Tahoma"/>
                <w:sz w:val="22"/>
                <w:szCs w:val="22"/>
              </w:rPr>
              <w:t> </w:t>
            </w:r>
          </w:p>
          <w:p w14:paraId="0A564AB2" w14:textId="77777777" w:rsidR="005A3C23" w:rsidRDefault="005A3C23" w:rsidP="005A3C23">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sz w:val="22"/>
                <w:szCs w:val="22"/>
              </w:rPr>
              <w:t xml:space="preserve">Mycobacteria are a group of versatile microorganisms which include medically important pathogens and environmental bacteria. </w:t>
            </w:r>
            <w:r>
              <w:rPr>
                <w:rStyle w:val="normaltextrun"/>
                <w:rFonts w:ascii="Tahoma" w:hAnsi="Tahoma" w:cs="Tahoma"/>
                <w:i/>
                <w:iCs/>
                <w:sz w:val="22"/>
                <w:szCs w:val="22"/>
              </w:rPr>
              <w:t>Mycobacterium tuberculosis</w:t>
            </w:r>
            <w:r>
              <w:rPr>
                <w:rStyle w:val="normaltextrun"/>
                <w:rFonts w:ascii="Tahoma" w:hAnsi="Tahoma" w:cs="Tahoma"/>
                <w:sz w:val="22"/>
                <w:szCs w:val="22"/>
              </w:rPr>
              <w:t xml:space="preserve"> and </w:t>
            </w:r>
            <w:r>
              <w:rPr>
                <w:rStyle w:val="normaltextrun"/>
                <w:rFonts w:ascii="Tahoma" w:hAnsi="Tahoma" w:cs="Tahoma"/>
                <w:i/>
                <w:iCs/>
                <w:sz w:val="22"/>
                <w:szCs w:val="22"/>
              </w:rPr>
              <w:t xml:space="preserve">Mycobacterium </w:t>
            </w:r>
            <w:proofErr w:type="spellStart"/>
            <w:r>
              <w:rPr>
                <w:rStyle w:val="normaltextrun"/>
                <w:rFonts w:ascii="Tahoma" w:hAnsi="Tahoma" w:cs="Tahoma"/>
                <w:i/>
                <w:iCs/>
                <w:sz w:val="22"/>
                <w:szCs w:val="22"/>
              </w:rPr>
              <w:t>bovis</w:t>
            </w:r>
            <w:proofErr w:type="spellEnd"/>
            <w:r>
              <w:rPr>
                <w:rStyle w:val="normaltextrun"/>
                <w:rFonts w:ascii="Tahoma" w:hAnsi="Tahoma" w:cs="Tahoma"/>
                <w:i/>
                <w:iCs/>
                <w:sz w:val="22"/>
                <w:szCs w:val="22"/>
              </w:rPr>
              <w:t xml:space="preserve"> </w:t>
            </w:r>
            <w:r>
              <w:rPr>
                <w:rStyle w:val="normaltextrun"/>
                <w:rFonts w:ascii="Tahoma" w:hAnsi="Tahoma" w:cs="Tahoma"/>
                <w:sz w:val="22"/>
                <w:szCs w:val="22"/>
              </w:rPr>
              <w:t>cause tuberculosis (TB) in humans and cattle. Bovine TB remains a challenge for production industry in England and Wales, since both herd incidence and herd prevalence remain relatively stable and high</w:t>
            </w:r>
            <w:r>
              <w:rPr>
                <w:rStyle w:val="normaltextrun"/>
                <w:rFonts w:ascii="Tahoma" w:hAnsi="Tahoma" w:cs="Tahoma"/>
                <w:sz w:val="17"/>
                <w:szCs w:val="17"/>
                <w:vertAlign w:val="superscript"/>
              </w:rPr>
              <w:t>1</w:t>
            </w:r>
            <w:r>
              <w:rPr>
                <w:rStyle w:val="normaltextrun"/>
                <w:rFonts w:ascii="Tahoma" w:hAnsi="Tahoma" w:cs="Tahoma"/>
                <w:sz w:val="22"/>
                <w:szCs w:val="22"/>
              </w:rPr>
              <w:t xml:space="preserve">. Thus, a better understanding of mycobacterial biology is required for implementation of control measures. </w:t>
            </w:r>
            <w:r>
              <w:rPr>
                <w:rStyle w:val="normaltextrun"/>
                <w:rFonts w:ascii="Arial" w:hAnsi="Arial" w:cs="Arial"/>
                <w:sz w:val="22"/>
                <w:szCs w:val="22"/>
              </w:rPr>
              <w:t xml:space="preserve">Mycobacteria differ from other bacteria by a complex lipid rich cell wall, unique way of growing at cell poles and very slow replication. Mycobacteria can also survive and persist in harsh conditions such as extreme pH, the presence of reactive oxygen species, </w:t>
            </w:r>
            <w:proofErr w:type="spellStart"/>
            <w:r>
              <w:rPr>
                <w:rStyle w:val="normaltextrun"/>
                <w:rFonts w:ascii="Arial" w:hAnsi="Arial" w:cs="Arial"/>
                <w:sz w:val="22"/>
                <w:szCs w:val="22"/>
              </w:rPr>
              <w:t>nitrosative</w:t>
            </w:r>
            <w:proofErr w:type="spellEnd"/>
            <w:r>
              <w:rPr>
                <w:rStyle w:val="normaltextrun"/>
                <w:rFonts w:ascii="Arial" w:hAnsi="Arial" w:cs="Arial"/>
                <w:sz w:val="22"/>
                <w:szCs w:val="22"/>
              </w:rPr>
              <w:t xml:space="preserve"> stress, hypoxia and starvation. These abilities allow mycobacterial pathogens to grow within eukaryotic cells and persist host immune-mediated pressure. One of the key mechanisms that controls mycobacterial growth and survival is serine threonine protein kinase (STPK) signalling. </w:t>
            </w:r>
            <w:r>
              <w:rPr>
                <w:rStyle w:val="normaltextrun"/>
                <w:rFonts w:ascii="Arial" w:hAnsi="Arial" w:cs="Arial"/>
                <w:i/>
                <w:iCs/>
                <w:sz w:val="22"/>
                <w:szCs w:val="22"/>
              </w:rPr>
              <w:t xml:space="preserve">M. </w:t>
            </w:r>
            <w:proofErr w:type="spellStart"/>
            <w:r>
              <w:rPr>
                <w:rStyle w:val="normaltextrun"/>
                <w:rFonts w:ascii="Arial" w:hAnsi="Arial" w:cs="Arial"/>
                <w:i/>
                <w:iCs/>
                <w:sz w:val="22"/>
                <w:szCs w:val="22"/>
              </w:rPr>
              <w:t>bovis</w:t>
            </w:r>
            <w:proofErr w:type="spellEnd"/>
            <w:r>
              <w:rPr>
                <w:rStyle w:val="normaltextrun"/>
                <w:rFonts w:ascii="Arial" w:hAnsi="Arial" w:cs="Arial"/>
                <w:sz w:val="22"/>
                <w:szCs w:val="22"/>
              </w:rPr>
              <w:t xml:space="preserve"> genome encodes 11 STPK and two of them, </w:t>
            </w:r>
            <w:proofErr w:type="spellStart"/>
            <w:r>
              <w:rPr>
                <w:rStyle w:val="normaltextrun"/>
                <w:rFonts w:ascii="Arial" w:hAnsi="Arial" w:cs="Arial"/>
                <w:sz w:val="22"/>
                <w:szCs w:val="22"/>
              </w:rPr>
              <w:t>PknA</w:t>
            </w:r>
            <w:proofErr w:type="spellEnd"/>
            <w:r>
              <w:rPr>
                <w:rStyle w:val="normaltextrun"/>
                <w:rFonts w:ascii="Arial" w:hAnsi="Arial" w:cs="Arial"/>
                <w:sz w:val="22"/>
                <w:szCs w:val="22"/>
              </w:rPr>
              <w:t xml:space="preserve"> and </w:t>
            </w:r>
            <w:proofErr w:type="spellStart"/>
            <w:r>
              <w:rPr>
                <w:rStyle w:val="normaltextrun"/>
                <w:rFonts w:ascii="Arial" w:hAnsi="Arial" w:cs="Arial"/>
                <w:sz w:val="22"/>
                <w:szCs w:val="22"/>
              </w:rPr>
              <w:t>PknB</w:t>
            </w:r>
            <w:proofErr w:type="spellEnd"/>
            <w:r>
              <w:rPr>
                <w:rStyle w:val="normaltextrun"/>
                <w:rFonts w:ascii="Arial" w:hAnsi="Arial" w:cs="Arial"/>
                <w:sz w:val="22"/>
                <w:szCs w:val="22"/>
              </w:rPr>
              <w:t xml:space="preserve">, are essential for growth. </w:t>
            </w:r>
            <w:proofErr w:type="spellStart"/>
            <w:r>
              <w:rPr>
                <w:rStyle w:val="normaltextrun"/>
                <w:rFonts w:ascii="Arial" w:hAnsi="Arial" w:cs="Arial"/>
                <w:i/>
                <w:iCs/>
                <w:sz w:val="22"/>
                <w:szCs w:val="22"/>
              </w:rPr>
              <w:t>PknA</w:t>
            </w:r>
            <w:proofErr w:type="spellEnd"/>
            <w:r>
              <w:rPr>
                <w:rStyle w:val="normaltextrun"/>
                <w:rFonts w:ascii="Arial" w:hAnsi="Arial" w:cs="Arial"/>
                <w:sz w:val="22"/>
                <w:szCs w:val="22"/>
              </w:rPr>
              <w:t xml:space="preserve"> and </w:t>
            </w:r>
            <w:proofErr w:type="spellStart"/>
            <w:r>
              <w:rPr>
                <w:rStyle w:val="normaltextrun"/>
                <w:rFonts w:ascii="Arial" w:hAnsi="Arial" w:cs="Arial"/>
                <w:i/>
                <w:iCs/>
                <w:sz w:val="22"/>
                <w:szCs w:val="22"/>
              </w:rPr>
              <w:t>pknB</w:t>
            </w:r>
            <w:proofErr w:type="spellEnd"/>
            <w:r>
              <w:rPr>
                <w:rStyle w:val="normaltextrun"/>
                <w:rFonts w:ascii="Arial" w:hAnsi="Arial" w:cs="Arial"/>
                <w:sz w:val="22"/>
                <w:szCs w:val="22"/>
              </w:rPr>
              <w:t xml:space="preserve"> are transcribed from the same promoter and their expression is tightly regulated. Our recent findings suggest that dysregulation of </w:t>
            </w:r>
            <w:proofErr w:type="spellStart"/>
            <w:r>
              <w:rPr>
                <w:rStyle w:val="normaltextrun"/>
                <w:rFonts w:ascii="Arial" w:hAnsi="Arial" w:cs="Arial"/>
                <w:sz w:val="22"/>
                <w:szCs w:val="22"/>
              </w:rPr>
              <w:t>PknB</w:t>
            </w:r>
            <w:proofErr w:type="spellEnd"/>
            <w:r>
              <w:rPr>
                <w:rStyle w:val="normaltextrun"/>
                <w:rFonts w:ascii="Arial" w:hAnsi="Arial" w:cs="Arial"/>
                <w:sz w:val="22"/>
                <w:szCs w:val="22"/>
              </w:rPr>
              <w:t xml:space="preserve"> has a detrimental effect on mycobacterial survival under </w:t>
            </w:r>
            <w:proofErr w:type="spellStart"/>
            <w:r>
              <w:rPr>
                <w:rStyle w:val="normaltextrun"/>
                <w:rFonts w:ascii="Arial" w:hAnsi="Arial" w:cs="Arial"/>
                <w:sz w:val="22"/>
                <w:szCs w:val="22"/>
              </w:rPr>
              <w:t>nitrosative</w:t>
            </w:r>
            <w:proofErr w:type="spellEnd"/>
            <w:r>
              <w:rPr>
                <w:rStyle w:val="normaltextrun"/>
                <w:rFonts w:ascii="Arial" w:hAnsi="Arial" w:cs="Arial"/>
                <w:sz w:val="22"/>
                <w:szCs w:val="22"/>
              </w:rPr>
              <w:t xml:space="preserve"> stress; however, very little information on molecular mechanisms controlling </w:t>
            </w:r>
            <w:proofErr w:type="spellStart"/>
            <w:r>
              <w:rPr>
                <w:rStyle w:val="normaltextrun"/>
                <w:rFonts w:ascii="Arial" w:hAnsi="Arial" w:cs="Arial"/>
                <w:sz w:val="22"/>
                <w:szCs w:val="22"/>
              </w:rPr>
              <w:t>PknA</w:t>
            </w:r>
            <w:proofErr w:type="spellEnd"/>
            <w:r>
              <w:rPr>
                <w:rStyle w:val="normaltextrun"/>
                <w:rFonts w:ascii="Arial" w:hAnsi="Arial" w:cs="Arial"/>
                <w:sz w:val="22"/>
                <w:szCs w:val="22"/>
              </w:rPr>
              <w:t xml:space="preserve"> and </w:t>
            </w:r>
            <w:proofErr w:type="spellStart"/>
            <w:r>
              <w:rPr>
                <w:rStyle w:val="normaltextrun"/>
                <w:rFonts w:ascii="Arial" w:hAnsi="Arial" w:cs="Arial"/>
                <w:sz w:val="22"/>
                <w:szCs w:val="22"/>
              </w:rPr>
              <w:t>PknB</w:t>
            </w:r>
            <w:proofErr w:type="spellEnd"/>
            <w:r>
              <w:rPr>
                <w:rStyle w:val="normaltextrun"/>
                <w:rFonts w:ascii="Arial" w:hAnsi="Arial" w:cs="Arial"/>
                <w:sz w:val="22"/>
                <w:szCs w:val="22"/>
              </w:rPr>
              <w:t xml:space="preserve"> expression is available. An essential global transcriptional regulator Rv0023 linked to NAD+/NADH homeostasis is annotated to govern transcription of </w:t>
            </w:r>
            <w:proofErr w:type="spellStart"/>
            <w:r>
              <w:rPr>
                <w:rStyle w:val="normaltextrun"/>
                <w:rFonts w:ascii="Arial" w:hAnsi="Arial" w:cs="Arial"/>
                <w:i/>
                <w:iCs/>
                <w:sz w:val="22"/>
                <w:szCs w:val="22"/>
              </w:rPr>
              <w:t>pknB</w:t>
            </w:r>
            <w:proofErr w:type="spellEnd"/>
            <w:r>
              <w:rPr>
                <w:rStyle w:val="normaltextrun"/>
                <w:rFonts w:ascii="Arial" w:hAnsi="Arial" w:cs="Arial"/>
                <w:sz w:val="22"/>
                <w:szCs w:val="22"/>
              </w:rPr>
              <w:t xml:space="preserve"> and </w:t>
            </w:r>
            <w:proofErr w:type="spellStart"/>
            <w:r>
              <w:rPr>
                <w:rStyle w:val="normaltextrun"/>
                <w:rFonts w:ascii="Arial" w:hAnsi="Arial" w:cs="Arial"/>
                <w:i/>
                <w:iCs/>
                <w:sz w:val="22"/>
                <w:szCs w:val="22"/>
              </w:rPr>
              <w:t>pknA</w:t>
            </w:r>
            <w:proofErr w:type="spellEnd"/>
            <w:r>
              <w:rPr>
                <w:rStyle w:val="normaltextrun"/>
                <w:rFonts w:ascii="Arial" w:hAnsi="Arial" w:cs="Arial"/>
                <w:i/>
                <w:iCs/>
                <w:sz w:val="22"/>
                <w:szCs w:val="22"/>
              </w:rPr>
              <w:t>.</w:t>
            </w:r>
            <w:r>
              <w:rPr>
                <w:rStyle w:val="normaltextrun"/>
                <w:rFonts w:ascii="Arial" w:hAnsi="Arial" w:cs="Arial"/>
                <w:sz w:val="22"/>
                <w:szCs w:val="22"/>
              </w:rPr>
              <w:t xml:space="preserve"> Additionally, an antisense transcript has been identified within the coding region of </w:t>
            </w:r>
            <w:proofErr w:type="spellStart"/>
            <w:r>
              <w:rPr>
                <w:rStyle w:val="normaltextrun"/>
                <w:rFonts w:ascii="Arial" w:hAnsi="Arial" w:cs="Arial"/>
                <w:i/>
                <w:iCs/>
                <w:sz w:val="22"/>
                <w:szCs w:val="22"/>
              </w:rPr>
              <w:t>pknA</w:t>
            </w:r>
            <w:proofErr w:type="spellEnd"/>
            <w:r>
              <w:rPr>
                <w:rStyle w:val="normaltextrun"/>
                <w:rFonts w:ascii="Arial" w:hAnsi="Arial" w:cs="Arial"/>
                <w:sz w:val="22"/>
                <w:szCs w:val="22"/>
              </w:rPr>
              <w:t xml:space="preserve"> and </w:t>
            </w:r>
            <w:proofErr w:type="spellStart"/>
            <w:r>
              <w:rPr>
                <w:rStyle w:val="normaltextrun"/>
                <w:rFonts w:ascii="Arial" w:hAnsi="Arial" w:cs="Arial"/>
                <w:i/>
                <w:iCs/>
                <w:sz w:val="22"/>
                <w:szCs w:val="22"/>
              </w:rPr>
              <w:t>pknB</w:t>
            </w:r>
            <w:proofErr w:type="spellEnd"/>
            <w:r>
              <w:rPr>
                <w:rStyle w:val="normaltextrun"/>
                <w:rFonts w:ascii="Arial" w:hAnsi="Arial" w:cs="Arial"/>
                <w:sz w:val="22"/>
                <w:szCs w:val="22"/>
              </w:rPr>
              <w:t xml:space="preserve"> which is differentially transcribed under various conditions.</w:t>
            </w:r>
            <w:r>
              <w:rPr>
                <w:rStyle w:val="eop"/>
                <w:rFonts w:ascii="Arial" w:hAnsi="Arial" w:cs="Arial"/>
                <w:sz w:val="22"/>
                <w:szCs w:val="22"/>
              </w:rPr>
              <w:t> </w:t>
            </w:r>
          </w:p>
          <w:p w14:paraId="2B7C539A" w14:textId="77777777" w:rsidR="005A3C23" w:rsidRDefault="005A3C23" w:rsidP="005A3C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rPr>
              <w:t>Aims and objectives</w:t>
            </w:r>
            <w:r>
              <w:rPr>
                <w:rStyle w:val="eop"/>
                <w:rFonts w:ascii="Arial" w:hAnsi="Arial" w:cs="Arial"/>
                <w:sz w:val="22"/>
                <w:szCs w:val="22"/>
              </w:rPr>
              <w:t> </w:t>
            </w:r>
          </w:p>
          <w:p w14:paraId="5B9FF29E" w14:textId="77777777" w:rsidR="005A3C23" w:rsidRDefault="005A3C23" w:rsidP="005A3C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The proposed project will be focused on investigation of molecular mechanisms underpinning regulation of </w:t>
            </w:r>
            <w:proofErr w:type="spellStart"/>
            <w:r>
              <w:rPr>
                <w:rStyle w:val="normaltextrun"/>
                <w:rFonts w:ascii="Arial" w:hAnsi="Arial" w:cs="Arial"/>
                <w:i/>
                <w:iCs/>
                <w:sz w:val="22"/>
                <w:szCs w:val="22"/>
              </w:rPr>
              <w:t>pknA</w:t>
            </w:r>
            <w:proofErr w:type="spellEnd"/>
            <w:r>
              <w:rPr>
                <w:rStyle w:val="normaltextrun"/>
                <w:rFonts w:ascii="Arial" w:hAnsi="Arial" w:cs="Arial"/>
                <w:sz w:val="22"/>
                <w:szCs w:val="22"/>
              </w:rPr>
              <w:t xml:space="preserve"> and </w:t>
            </w:r>
            <w:proofErr w:type="spellStart"/>
            <w:r>
              <w:rPr>
                <w:rStyle w:val="normaltextrun"/>
                <w:rFonts w:ascii="Arial" w:hAnsi="Arial" w:cs="Arial"/>
                <w:i/>
                <w:iCs/>
                <w:sz w:val="22"/>
                <w:szCs w:val="22"/>
              </w:rPr>
              <w:t>pknB</w:t>
            </w:r>
            <w:proofErr w:type="spellEnd"/>
            <w:r>
              <w:rPr>
                <w:rStyle w:val="normaltextrun"/>
                <w:rFonts w:ascii="Arial" w:hAnsi="Arial" w:cs="Arial"/>
                <w:sz w:val="22"/>
                <w:szCs w:val="22"/>
              </w:rPr>
              <w:t xml:space="preserve"> expression during growth, transition to dormancy and resuscitation, persistence in macrophages. The proposed objectives will include: 1. Investigating the effect of Rv0023 over-expression and silencing on expression of </w:t>
            </w:r>
            <w:proofErr w:type="spellStart"/>
            <w:r>
              <w:rPr>
                <w:rStyle w:val="normaltextrun"/>
                <w:rFonts w:ascii="Arial" w:hAnsi="Arial" w:cs="Arial"/>
                <w:i/>
                <w:iCs/>
                <w:sz w:val="22"/>
                <w:szCs w:val="22"/>
              </w:rPr>
              <w:t>pknA</w:t>
            </w:r>
            <w:proofErr w:type="spellEnd"/>
            <w:r>
              <w:rPr>
                <w:rStyle w:val="normaltextrun"/>
                <w:rFonts w:ascii="Arial" w:hAnsi="Arial" w:cs="Arial"/>
                <w:sz w:val="22"/>
                <w:szCs w:val="22"/>
              </w:rPr>
              <w:t xml:space="preserve"> and </w:t>
            </w:r>
            <w:proofErr w:type="spellStart"/>
            <w:r>
              <w:rPr>
                <w:rStyle w:val="normaltextrun"/>
                <w:rFonts w:ascii="Arial" w:hAnsi="Arial" w:cs="Arial"/>
                <w:i/>
                <w:iCs/>
                <w:sz w:val="22"/>
                <w:szCs w:val="22"/>
              </w:rPr>
              <w:t>pknB</w:t>
            </w:r>
            <w:proofErr w:type="spellEnd"/>
            <w:r>
              <w:rPr>
                <w:rStyle w:val="normaltextrun"/>
                <w:rFonts w:ascii="Arial" w:hAnsi="Arial" w:cs="Arial"/>
                <w:sz w:val="22"/>
                <w:szCs w:val="22"/>
              </w:rPr>
              <w:t xml:space="preserve"> and bacterial survival; 2. Establishing the role of antisense transcript within the </w:t>
            </w:r>
            <w:proofErr w:type="spellStart"/>
            <w:r>
              <w:rPr>
                <w:rStyle w:val="normaltextrun"/>
                <w:rFonts w:ascii="Arial" w:hAnsi="Arial" w:cs="Arial"/>
                <w:i/>
                <w:iCs/>
                <w:sz w:val="22"/>
                <w:szCs w:val="22"/>
              </w:rPr>
              <w:t>pknA</w:t>
            </w:r>
            <w:proofErr w:type="spellEnd"/>
            <w:r>
              <w:rPr>
                <w:rStyle w:val="normaltextrun"/>
                <w:rFonts w:ascii="Arial" w:hAnsi="Arial" w:cs="Arial"/>
                <w:i/>
                <w:iCs/>
                <w:sz w:val="22"/>
                <w:szCs w:val="22"/>
              </w:rPr>
              <w:t>/</w:t>
            </w:r>
            <w:proofErr w:type="spellStart"/>
            <w:r>
              <w:rPr>
                <w:rStyle w:val="normaltextrun"/>
                <w:rFonts w:ascii="Arial" w:hAnsi="Arial" w:cs="Arial"/>
                <w:i/>
                <w:iCs/>
                <w:sz w:val="22"/>
                <w:szCs w:val="22"/>
              </w:rPr>
              <w:t>pknB</w:t>
            </w:r>
            <w:proofErr w:type="spellEnd"/>
            <w:r>
              <w:rPr>
                <w:rStyle w:val="normaltextrun"/>
                <w:rFonts w:ascii="Arial" w:hAnsi="Arial" w:cs="Arial"/>
                <w:sz w:val="22"/>
                <w:szCs w:val="22"/>
              </w:rPr>
              <w:t xml:space="preserve"> coding region in bacterial growth, dormancy and persistence in macrophages. 3. Exploring proteomics and </w:t>
            </w:r>
            <w:proofErr w:type="spellStart"/>
            <w:r>
              <w:rPr>
                <w:rStyle w:val="normaltextrun"/>
                <w:rFonts w:ascii="Arial" w:hAnsi="Arial" w:cs="Arial"/>
                <w:sz w:val="22"/>
                <w:szCs w:val="22"/>
              </w:rPr>
              <w:t>phosphoproteomics</w:t>
            </w:r>
            <w:proofErr w:type="spellEnd"/>
            <w:r>
              <w:rPr>
                <w:rStyle w:val="normaltextrun"/>
                <w:rFonts w:ascii="Arial" w:hAnsi="Arial" w:cs="Arial"/>
                <w:sz w:val="22"/>
                <w:szCs w:val="22"/>
              </w:rPr>
              <w:t xml:space="preserve"> profiles of mycobacteria with altered </w:t>
            </w:r>
            <w:proofErr w:type="spellStart"/>
            <w:r>
              <w:rPr>
                <w:rStyle w:val="normaltextrun"/>
                <w:rFonts w:ascii="Arial" w:hAnsi="Arial" w:cs="Arial"/>
                <w:i/>
                <w:iCs/>
                <w:sz w:val="22"/>
                <w:szCs w:val="22"/>
              </w:rPr>
              <w:t>pknB</w:t>
            </w:r>
            <w:proofErr w:type="spellEnd"/>
            <w:r>
              <w:rPr>
                <w:rStyle w:val="normaltextrun"/>
                <w:rFonts w:ascii="Arial" w:hAnsi="Arial" w:cs="Arial"/>
                <w:sz w:val="22"/>
                <w:szCs w:val="22"/>
              </w:rPr>
              <w:t xml:space="preserve"> and </w:t>
            </w:r>
            <w:proofErr w:type="spellStart"/>
            <w:r>
              <w:rPr>
                <w:rStyle w:val="normaltextrun"/>
                <w:rFonts w:ascii="Arial" w:hAnsi="Arial" w:cs="Arial"/>
                <w:i/>
                <w:iCs/>
                <w:sz w:val="22"/>
                <w:szCs w:val="22"/>
              </w:rPr>
              <w:t>pknA</w:t>
            </w:r>
            <w:proofErr w:type="spellEnd"/>
            <w:r>
              <w:rPr>
                <w:rStyle w:val="normaltextrun"/>
                <w:rFonts w:ascii="Arial" w:hAnsi="Arial" w:cs="Arial"/>
                <w:sz w:val="22"/>
                <w:szCs w:val="22"/>
              </w:rPr>
              <w:t xml:space="preserve"> expression under </w:t>
            </w:r>
            <w:proofErr w:type="spellStart"/>
            <w:r>
              <w:rPr>
                <w:rStyle w:val="normaltextrun"/>
                <w:rFonts w:ascii="Arial" w:hAnsi="Arial" w:cs="Arial"/>
                <w:sz w:val="22"/>
                <w:szCs w:val="22"/>
              </w:rPr>
              <w:t>nitrosative</w:t>
            </w:r>
            <w:proofErr w:type="spellEnd"/>
            <w:r>
              <w:rPr>
                <w:rStyle w:val="normaltextrun"/>
                <w:rFonts w:ascii="Arial" w:hAnsi="Arial" w:cs="Arial"/>
                <w:sz w:val="22"/>
                <w:szCs w:val="22"/>
              </w:rPr>
              <w:t xml:space="preserve"> stress and during persistence in activated macrophages.</w:t>
            </w:r>
            <w:r>
              <w:rPr>
                <w:rStyle w:val="eop"/>
                <w:rFonts w:ascii="Arial" w:hAnsi="Arial" w:cs="Arial"/>
                <w:sz w:val="22"/>
                <w:szCs w:val="22"/>
              </w:rPr>
              <w:t> </w:t>
            </w:r>
          </w:p>
          <w:p w14:paraId="222B6FAB" w14:textId="77777777" w:rsidR="005A3C23" w:rsidRDefault="005A3C23" w:rsidP="005A3C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rPr>
              <w:t>Experimental approaches </w:t>
            </w:r>
            <w:r>
              <w:rPr>
                <w:rStyle w:val="eop"/>
                <w:rFonts w:ascii="Arial" w:hAnsi="Arial" w:cs="Arial"/>
                <w:sz w:val="22"/>
                <w:szCs w:val="22"/>
              </w:rPr>
              <w:t> </w:t>
            </w:r>
          </w:p>
          <w:p w14:paraId="7767A58B" w14:textId="77777777" w:rsidR="005A3C23" w:rsidRDefault="005A3C23" w:rsidP="005A3C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Previously established models of dormancy, including hypoxia driven non-replicating persistence and nitric oxide induced growth arrest will be used. Additionally, we will use murine and human macrophage cell lines activated with interferon gamma for investigation of mycobacterial persistence. We will mainly focus on </w:t>
            </w:r>
            <w:r>
              <w:rPr>
                <w:rStyle w:val="normaltextrun"/>
                <w:rFonts w:ascii="Arial" w:hAnsi="Arial" w:cs="Arial"/>
                <w:i/>
                <w:iCs/>
                <w:sz w:val="22"/>
                <w:szCs w:val="22"/>
              </w:rPr>
              <w:t xml:space="preserve">M. </w:t>
            </w:r>
            <w:proofErr w:type="spellStart"/>
            <w:r>
              <w:rPr>
                <w:rStyle w:val="normaltextrun"/>
                <w:rFonts w:ascii="Arial" w:hAnsi="Arial" w:cs="Arial"/>
                <w:i/>
                <w:iCs/>
                <w:sz w:val="22"/>
                <w:szCs w:val="22"/>
              </w:rPr>
              <w:t>bovis</w:t>
            </w:r>
            <w:proofErr w:type="spellEnd"/>
            <w:r>
              <w:rPr>
                <w:rStyle w:val="normaltextrun"/>
                <w:rFonts w:ascii="Arial" w:hAnsi="Arial" w:cs="Arial"/>
                <w:sz w:val="22"/>
                <w:szCs w:val="22"/>
              </w:rPr>
              <w:t xml:space="preserve"> BCG, a vaccine strain currently used for laboratory research. </w:t>
            </w:r>
            <w:proofErr w:type="spellStart"/>
            <w:r>
              <w:rPr>
                <w:rStyle w:val="normaltextrun"/>
                <w:rFonts w:ascii="Arial" w:hAnsi="Arial" w:cs="Arial"/>
                <w:i/>
                <w:iCs/>
                <w:sz w:val="22"/>
                <w:szCs w:val="22"/>
              </w:rPr>
              <w:t>pknA</w:t>
            </w:r>
            <w:proofErr w:type="spellEnd"/>
            <w:r>
              <w:rPr>
                <w:rStyle w:val="normaltextrun"/>
                <w:rFonts w:ascii="Arial" w:hAnsi="Arial" w:cs="Arial"/>
                <w:i/>
                <w:iCs/>
                <w:sz w:val="22"/>
                <w:szCs w:val="22"/>
              </w:rPr>
              <w:t xml:space="preserve"> </w:t>
            </w:r>
            <w:r>
              <w:rPr>
                <w:rStyle w:val="normaltextrun"/>
                <w:rFonts w:ascii="Arial" w:hAnsi="Arial" w:cs="Arial"/>
                <w:sz w:val="22"/>
                <w:szCs w:val="22"/>
              </w:rPr>
              <w:t xml:space="preserve">and </w:t>
            </w:r>
            <w:proofErr w:type="spellStart"/>
            <w:r>
              <w:rPr>
                <w:rStyle w:val="normaltextrun"/>
                <w:rFonts w:ascii="Arial" w:hAnsi="Arial" w:cs="Arial"/>
                <w:i/>
                <w:iCs/>
                <w:sz w:val="22"/>
                <w:szCs w:val="22"/>
              </w:rPr>
              <w:t>pknB</w:t>
            </w:r>
            <w:proofErr w:type="spellEnd"/>
            <w:r>
              <w:rPr>
                <w:rStyle w:val="normaltextrun"/>
                <w:rFonts w:ascii="Arial" w:hAnsi="Arial" w:cs="Arial"/>
                <w:sz w:val="22"/>
                <w:szCs w:val="22"/>
              </w:rPr>
              <w:t xml:space="preserve"> silencing will be achieved by application of CRISPR genetics; over-expression systems will be used for dysregulation of </w:t>
            </w:r>
            <w:r>
              <w:rPr>
                <w:rStyle w:val="normaltextrun"/>
                <w:rFonts w:ascii="Arial" w:hAnsi="Arial" w:cs="Arial"/>
                <w:sz w:val="22"/>
                <w:szCs w:val="22"/>
              </w:rPr>
              <w:lastRenderedPageBreak/>
              <w:t>kinase expression. Within the project we will also develop methods for proteomics/</w:t>
            </w:r>
            <w:proofErr w:type="spellStart"/>
            <w:r>
              <w:rPr>
                <w:rStyle w:val="normaltextrun"/>
                <w:rFonts w:ascii="Arial" w:hAnsi="Arial" w:cs="Arial"/>
                <w:sz w:val="22"/>
                <w:szCs w:val="22"/>
              </w:rPr>
              <w:t>phosphoproteomics</w:t>
            </w:r>
            <w:proofErr w:type="spellEnd"/>
            <w:r>
              <w:rPr>
                <w:rStyle w:val="normaltextrun"/>
                <w:rFonts w:ascii="Arial" w:hAnsi="Arial" w:cs="Arial"/>
                <w:sz w:val="22"/>
                <w:szCs w:val="22"/>
              </w:rPr>
              <w:t xml:space="preserve"> of mycobacteria in infected macrophages.</w:t>
            </w:r>
            <w:r>
              <w:rPr>
                <w:rStyle w:val="eop"/>
                <w:rFonts w:ascii="Arial" w:hAnsi="Arial" w:cs="Arial"/>
                <w:sz w:val="22"/>
                <w:szCs w:val="22"/>
              </w:rPr>
              <w:t> </w:t>
            </w:r>
          </w:p>
          <w:p w14:paraId="78DB2D09" w14:textId="77777777" w:rsidR="00066C81" w:rsidRDefault="00066C81" w:rsidP="00ED69E6">
            <w:pPr>
              <w:rPr>
                <w:b/>
              </w:rPr>
            </w:pPr>
          </w:p>
          <w:p w14:paraId="5600531E" w14:textId="2E3AFCAD" w:rsidR="00FF61F7" w:rsidRDefault="005A3C23" w:rsidP="00ED69E6">
            <w:pPr>
              <w:rPr>
                <w:b/>
              </w:rPr>
            </w:pPr>
            <w:r>
              <w:rPr>
                <w:rStyle w:val="normaltextrun"/>
                <w:rFonts w:ascii="Arial" w:hAnsi="Arial" w:cs="Arial"/>
                <w:shd w:val="clear" w:color="auto" w:fill="FFFFFF"/>
              </w:rPr>
              <w:t>T</w:t>
            </w:r>
            <w:r>
              <w:rPr>
                <w:rStyle w:val="normaltextrun"/>
                <w:rFonts w:ascii="Arial" w:hAnsi="Arial" w:cs="Arial"/>
                <w:shd w:val="clear" w:color="auto" w:fill="FFFFFF"/>
              </w:rPr>
              <w:t>echniques that will be undertaken during the project</w:t>
            </w:r>
          </w:p>
          <w:p w14:paraId="38E60037" w14:textId="77777777" w:rsidR="005A3C23" w:rsidRDefault="005A3C23" w:rsidP="005A3C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Cultivation of mycobacteria</w:t>
            </w:r>
            <w:r>
              <w:rPr>
                <w:rStyle w:val="eop"/>
                <w:rFonts w:ascii="Arial" w:hAnsi="Arial" w:cs="Arial"/>
                <w:sz w:val="22"/>
                <w:szCs w:val="22"/>
              </w:rPr>
              <w:t> </w:t>
            </w:r>
          </w:p>
          <w:p w14:paraId="6AA302B0" w14:textId="77777777" w:rsidR="005A3C23" w:rsidRDefault="005A3C23" w:rsidP="005A3C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Genetic manipulation of mycobacteria, gene silencing and over-expression </w:t>
            </w:r>
            <w:r>
              <w:rPr>
                <w:rStyle w:val="eop"/>
                <w:rFonts w:ascii="Arial" w:hAnsi="Arial" w:cs="Arial"/>
                <w:sz w:val="22"/>
                <w:szCs w:val="22"/>
              </w:rPr>
              <w:t> </w:t>
            </w:r>
          </w:p>
          <w:p w14:paraId="0AAB096F" w14:textId="77777777" w:rsidR="005A3C23" w:rsidRDefault="005A3C23" w:rsidP="005A3C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Proteomics and </w:t>
            </w:r>
            <w:proofErr w:type="spellStart"/>
            <w:r>
              <w:rPr>
                <w:rStyle w:val="normaltextrun"/>
                <w:rFonts w:ascii="Arial" w:hAnsi="Arial" w:cs="Arial"/>
                <w:sz w:val="22"/>
                <w:szCs w:val="22"/>
              </w:rPr>
              <w:t>phosphoproteomics</w:t>
            </w:r>
            <w:proofErr w:type="spellEnd"/>
            <w:r>
              <w:rPr>
                <w:rStyle w:val="eop"/>
                <w:rFonts w:ascii="Arial" w:hAnsi="Arial" w:cs="Arial"/>
                <w:sz w:val="22"/>
                <w:szCs w:val="22"/>
              </w:rPr>
              <w:t> </w:t>
            </w:r>
          </w:p>
          <w:p w14:paraId="5E95A597" w14:textId="77777777" w:rsidR="005A3C23" w:rsidRDefault="005A3C23" w:rsidP="005A3C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SDS-PAGE and immunoblotting</w:t>
            </w:r>
            <w:r>
              <w:rPr>
                <w:rStyle w:val="eop"/>
                <w:rFonts w:ascii="Arial" w:hAnsi="Arial" w:cs="Arial"/>
                <w:sz w:val="22"/>
                <w:szCs w:val="22"/>
              </w:rPr>
              <w:t> </w:t>
            </w:r>
          </w:p>
          <w:p w14:paraId="2DFE6986" w14:textId="77777777" w:rsidR="005A3C23" w:rsidRDefault="005A3C23" w:rsidP="005A3C23">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Macrophage infection studies</w:t>
            </w:r>
            <w:r>
              <w:rPr>
                <w:rStyle w:val="eop"/>
                <w:rFonts w:ascii="Arial" w:hAnsi="Arial" w:cs="Arial"/>
                <w:sz w:val="22"/>
                <w:szCs w:val="22"/>
              </w:rPr>
              <w:t> </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0FDDFA22" w14:textId="77777777" w:rsidR="005A3C23" w:rsidRDefault="005A3C23" w:rsidP="005A3C23">
            <w:pPr>
              <w:pStyle w:val="paragraph"/>
              <w:numPr>
                <w:ilvl w:val="0"/>
                <w:numId w:val="2"/>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t xml:space="preserve">Quarterly TB in cattle in Great Britain statistics notice: June 2024. </w:t>
            </w:r>
            <w:hyperlink r:id="rId7" w:tgtFrame="_blank" w:history="1">
              <w:r>
                <w:rPr>
                  <w:rStyle w:val="normaltextrun"/>
                  <w:rFonts w:ascii="Arial" w:hAnsi="Arial" w:cs="Arial"/>
                  <w:color w:val="0000FF"/>
                  <w:sz w:val="22"/>
                  <w:szCs w:val="22"/>
                  <w:u w:val="single"/>
                </w:rPr>
                <w:t>https://www.gov.uk/government/statistics/incidence-of-tuberculosis-tb-in-cattle-in-great-britain</w:t>
              </w:r>
            </w:hyperlink>
            <w:r>
              <w:rPr>
                <w:rStyle w:val="eop"/>
                <w:rFonts w:ascii="Arial" w:hAnsi="Arial" w:cs="Arial"/>
                <w:sz w:val="22"/>
                <w:szCs w:val="22"/>
              </w:rPr>
              <w:t> </w:t>
            </w:r>
          </w:p>
          <w:p w14:paraId="51D1ABC3" w14:textId="77777777" w:rsidR="005A3C23" w:rsidRDefault="005A3C23" w:rsidP="005A3C23">
            <w:pPr>
              <w:pStyle w:val="paragraph"/>
              <w:numPr>
                <w:ilvl w:val="0"/>
                <w:numId w:val="3"/>
              </w:numPr>
              <w:spacing w:before="0" w:beforeAutospacing="0" w:after="0" w:afterAutospacing="0"/>
              <w:ind w:firstLine="0"/>
              <w:textAlignment w:val="baseline"/>
              <w:rPr>
                <w:rFonts w:ascii="Arial" w:hAnsi="Arial" w:cs="Arial"/>
                <w:sz w:val="22"/>
                <w:szCs w:val="22"/>
              </w:rPr>
            </w:pPr>
            <w:proofErr w:type="spellStart"/>
            <w:r>
              <w:rPr>
                <w:rStyle w:val="normaltextrun"/>
                <w:rFonts w:ascii="Arial" w:hAnsi="Arial" w:cs="Arial"/>
                <w:sz w:val="22"/>
                <w:szCs w:val="22"/>
              </w:rPr>
              <w:t>Turapov</w:t>
            </w:r>
            <w:proofErr w:type="spellEnd"/>
            <w:r>
              <w:rPr>
                <w:rStyle w:val="normaltextrun"/>
                <w:rFonts w:ascii="Arial" w:hAnsi="Arial" w:cs="Arial"/>
                <w:sz w:val="22"/>
                <w:szCs w:val="22"/>
              </w:rPr>
              <w:t xml:space="preserve"> O et al. (2018). Two faces of </w:t>
            </w:r>
            <w:proofErr w:type="spellStart"/>
            <w:r>
              <w:rPr>
                <w:rStyle w:val="normaltextrun"/>
                <w:rFonts w:ascii="Arial" w:hAnsi="Arial" w:cs="Arial"/>
                <w:sz w:val="22"/>
                <w:szCs w:val="22"/>
              </w:rPr>
              <w:t>CwlM</w:t>
            </w:r>
            <w:proofErr w:type="spellEnd"/>
            <w:r>
              <w:rPr>
                <w:rStyle w:val="normaltextrun"/>
                <w:rFonts w:ascii="Arial" w:hAnsi="Arial" w:cs="Arial"/>
                <w:sz w:val="22"/>
                <w:szCs w:val="22"/>
              </w:rPr>
              <w:t xml:space="preserve">, an essential </w:t>
            </w:r>
            <w:proofErr w:type="spellStart"/>
            <w:r>
              <w:rPr>
                <w:rStyle w:val="normaltextrun"/>
                <w:rFonts w:ascii="Arial" w:hAnsi="Arial" w:cs="Arial"/>
                <w:sz w:val="22"/>
                <w:szCs w:val="22"/>
              </w:rPr>
              <w:t>PknB</w:t>
            </w:r>
            <w:proofErr w:type="spellEnd"/>
            <w:r>
              <w:rPr>
                <w:rStyle w:val="normaltextrun"/>
                <w:rFonts w:ascii="Arial" w:hAnsi="Arial" w:cs="Arial"/>
                <w:sz w:val="22"/>
                <w:szCs w:val="22"/>
              </w:rPr>
              <w:t xml:space="preserve"> substrate, in </w:t>
            </w:r>
            <w:r>
              <w:rPr>
                <w:rStyle w:val="normaltextrun"/>
                <w:rFonts w:ascii="Arial" w:hAnsi="Arial" w:cs="Arial"/>
                <w:i/>
                <w:iCs/>
                <w:sz w:val="22"/>
                <w:szCs w:val="22"/>
              </w:rPr>
              <w:t>Mycobacterium tuberculosis</w:t>
            </w:r>
            <w:r>
              <w:rPr>
                <w:rStyle w:val="normaltextrun"/>
                <w:rFonts w:ascii="Arial" w:hAnsi="Arial" w:cs="Arial"/>
                <w:sz w:val="22"/>
                <w:szCs w:val="22"/>
              </w:rPr>
              <w:t xml:space="preserve">. </w:t>
            </w:r>
            <w:r>
              <w:rPr>
                <w:rStyle w:val="normaltextrun"/>
                <w:rFonts w:ascii="Arial" w:hAnsi="Arial" w:cs="Arial"/>
                <w:i/>
                <w:iCs/>
                <w:color w:val="000000"/>
                <w:sz w:val="22"/>
                <w:szCs w:val="22"/>
              </w:rPr>
              <w:t>Cell Rep</w:t>
            </w:r>
            <w:r>
              <w:rPr>
                <w:rStyle w:val="normaltextrun"/>
                <w:rFonts w:ascii="Arial" w:hAnsi="Arial" w:cs="Arial"/>
                <w:color w:val="000000"/>
                <w:sz w:val="22"/>
                <w:szCs w:val="22"/>
                <w:shd w:val="clear" w:color="auto" w:fill="FFFFFF"/>
              </w:rPr>
              <w:t xml:space="preserve"> 25(1): 57-67. e 5. </w:t>
            </w:r>
            <w:r>
              <w:rPr>
                <w:rStyle w:val="eop"/>
                <w:rFonts w:ascii="Arial" w:hAnsi="Arial" w:cs="Arial"/>
                <w:color w:val="000000"/>
                <w:sz w:val="22"/>
                <w:szCs w:val="22"/>
              </w:rPr>
              <w:t> </w:t>
            </w:r>
          </w:p>
          <w:p w14:paraId="73B747A1" w14:textId="77777777" w:rsidR="005A3C23" w:rsidRDefault="005A3C23" w:rsidP="005A3C23">
            <w:pPr>
              <w:pStyle w:val="paragraph"/>
              <w:numPr>
                <w:ilvl w:val="0"/>
                <w:numId w:val="4"/>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t xml:space="preserve">Gap-Gaupool B, Glenn SM, Milburn E et al. Nitric oxide induces the distinct invisibility phenotype of </w:t>
            </w:r>
            <w:r>
              <w:rPr>
                <w:rStyle w:val="normaltextrun"/>
                <w:rFonts w:ascii="Arial" w:hAnsi="Arial" w:cs="Arial"/>
                <w:i/>
                <w:iCs/>
                <w:sz w:val="22"/>
                <w:szCs w:val="22"/>
              </w:rPr>
              <w:t>Mycobacterium tuberculosis</w:t>
            </w:r>
            <w:r>
              <w:rPr>
                <w:rStyle w:val="normaltextrun"/>
                <w:rFonts w:ascii="Arial" w:hAnsi="Arial" w:cs="Arial"/>
                <w:sz w:val="22"/>
                <w:szCs w:val="22"/>
              </w:rPr>
              <w:t xml:space="preserve">. </w:t>
            </w:r>
            <w:proofErr w:type="spellStart"/>
            <w:r>
              <w:rPr>
                <w:rStyle w:val="normaltextrun"/>
                <w:rFonts w:ascii="Arial" w:hAnsi="Arial" w:cs="Arial"/>
                <w:sz w:val="22"/>
                <w:szCs w:val="22"/>
              </w:rPr>
              <w:t>Commun</w:t>
            </w:r>
            <w:proofErr w:type="spellEnd"/>
            <w:r>
              <w:rPr>
                <w:rStyle w:val="normaltextrun"/>
                <w:rFonts w:ascii="Arial" w:hAnsi="Arial" w:cs="Arial"/>
                <w:sz w:val="22"/>
                <w:szCs w:val="22"/>
              </w:rPr>
              <w:t xml:space="preserve"> Biol. 2024 Sep 28;7(1):1206. </w:t>
            </w:r>
            <w:proofErr w:type="spellStart"/>
            <w:r>
              <w:rPr>
                <w:rStyle w:val="normaltextrun"/>
                <w:rFonts w:ascii="Arial" w:hAnsi="Arial" w:cs="Arial"/>
                <w:sz w:val="22"/>
                <w:szCs w:val="22"/>
              </w:rPr>
              <w:t>doi</w:t>
            </w:r>
            <w:proofErr w:type="spellEnd"/>
            <w:r>
              <w:rPr>
                <w:rStyle w:val="normaltextrun"/>
                <w:rFonts w:ascii="Arial" w:hAnsi="Arial" w:cs="Arial"/>
                <w:sz w:val="22"/>
                <w:szCs w:val="22"/>
              </w:rPr>
              <w:t>: 10.1038/s42003-024-06912-0.</w:t>
            </w:r>
            <w:r>
              <w:rPr>
                <w:rStyle w:val="eop"/>
                <w:rFonts w:ascii="Arial" w:hAnsi="Arial" w:cs="Arial"/>
                <w:sz w:val="22"/>
                <w:szCs w:val="22"/>
              </w:rPr>
              <w:t> </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7EFC"/>
    <w:multiLevelType w:val="multilevel"/>
    <w:tmpl w:val="9AE23A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580611"/>
    <w:multiLevelType w:val="multilevel"/>
    <w:tmpl w:val="F0940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943688"/>
    <w:multiLevelType w:val="multilevel"/>
    <w:tmpl w:val="8E6EB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5A3C23"/>
    <w:rsid w:val="006F46FB"/>
    <w:rsid w:val="009B0D1C"/>
    <w:rsid w:val="009C47A8"/>
    <w:rsid w:val="00AE49DF"/>
    <w:rsid w:val="00BB70D0"/>
    <w:rsid w:val="00BD5F21"/>
    <w:rsid w:val="00C97F86"/>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865408798">
      <w:bodyDiv w:val="1"/>
      <w:marLeft w:val="0"/>
      <w:marRight w:val="0"/>
      <w:marTop w:val="0"/>
      <w:marBottom w:val="0"/>
      <w:divBdr>
        <w:top w:val="none" w:sz="0" w:space="0" w:color="auto"/>
        <w:left w:val="none" w:sz="0" w:space="0" w:color="auto"/>
        <w:bottom w:val="none" w:sz="0" w:space="0" w:color="auto"/>
        <w:right w:val="none" w:sz="0" w:space="0" w:color="auto"/>
      </w:divBdr>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 w:id="1483692953">
      <w:bodyDiv w:val="1"/>
      <w:marLeft w:val="0"/>
      <w:marRight w:val="0"/>
      <w:marTop w:val="0"/>
      <w:marBottom w:val="0"/>
      <w:divBdr>
        <w:top w:val="none" w:sz="0" w:space="0" w:color="auto"/>
        <w:left w:val="none" w:sz="0" w:space="0" w:color="auto"/>
        <w:bottom w:val="none" w:sz="0" w:space="0" w:color="auto"/>
        <w:right w:val="none" w:sz="0" w:space="0" w:color="auto"/>
      </w:divBdr>
      <w:divsChild>
        <w:div w:id="190144498">
          <w:marLeft w:val="0"/>
          <w:marRight w:val="0"/>
          <w:marTop w:val="0"/>
          <w:marBottom w:val="0"/>
          <w:divBdr>
            <w:top w:val="none" w:sz="0" w:space="0" w:color="auto"/>
            <w:left w:val="none" w:sz="0" w:space="0" w:color="auto"/>
            <w:bottom w:val="none" w:sz="0" w:space="0" w:color="auto"/>
            <w:right w:val="none" w:sz="0" w:space="0" w:color="auto"/>
          </w:divBdr>
        </w:div>
        <w:div w:id="1588884841">
          <w:marLeft w:val="0"/>
          <w:marRight w:val="0"/>
          <w:marTop w:val="0"/>
          <w:marBottom w:val="0"/>
          <w:divBdr>
            <w:top w:val="none" w:sz="0" w:space="0" w:color="auto"/>
            <w:left w:val="none" w:sz="0" w:space="0" w:color="auto"/>
            <w:bottom w:val="none" w:sz="0" w:space="0" w:color="auto"/>
            <w:right w:val="none" w:sz="0" w:space="0" w:color="auto"/>
          </w:divBdr>
        </w:div>
        <w:div w:id="1908177230">
          <w:marLeft w:val="0"/>
          <w:marRight w:val="0"/>
          <w:marTop w:val="0"/>
          <w:marBottom w:val="0"/>
          <w:divBdr>
            <w:top w:val="none" w:sz="0" w:space="0" w:color="auto"/>
            <w:left w:val="none" w:sz="0" w:space="0" w:color="auto"/>
            <w:bottom w:val="none" w:sz="0" w:space="0" w:color="auto"/>
            <w:right w:val="none" w:sz="0" w:space="0" w:color="auto"/>
          </w:divBdr>
        </w:div>
        <w:div w:id="1493989949">
          <w:marLeft w:val="0"/>
          <w:marRight w:val="0"/>
          <w:marTop w:val="0"/>
          <w:marBottom w:val="0"/>
          <w:divBdr>
            <w:top w:val="none" w:sz="0" w:space="0" w:color="auto"/>
            <w:left w:val="none" w:sz="0" w:space="0" w:color="auto"/>
            <w:bottom w:val="none" w:sz="0" w:space="0" w:color="auto"/>
            <w:right w:val="none" w:sz="0" w:space="0" w:color="auto"/>
          </w:divBdr>
        </w:div>
        <w:div w:id="850530432">
          <w:marLeft w:val="0"/>
          <w:marRight w:val="0"/>
          <w:marTop w:val="0"/>
          <w:marBottom w:val="0"/>
          <w:divBdr>
            <w:top w:val="none" w:sz="0" w:space="0" w:color="auto"/>
            <w:left w:val="none" w:sz="0" w:space="0" w:color="auto"/>
            <w:bottom w:val="none" w:sz="0" w:space="0" w:color="auto"/>
            <w:right w:val="none" w:sz="0" w:space="0" w:color="auto"/>
          </w:divBdr>
        </w:div>
        <w:div w:id="23871341">
          <w:marLeft w:val="0"/>
          <w:marRight w:val="0"/>
          <w:marTop w:val="0"/>
          <w:marBottom w:val="0"/>
          <w:divBdr>
            <w:top w:val="none" w:sz="0" w:space="0" w:color="auto"/>
            <w:left w:val="none" w:sz="0" w:space="0" w:color="auto"/>
            <w:bottom w:val="none" w:sz="0" w:space="0" w:color="auto"/>
            <w:right w:val="none" w:sz="0" w:space="0" w:color="auto"/>
          </w:divBdr>
        </w:div>
      </w:divsChild>
    </w:div>
    <w:div w:id="1863400989">
      <w:bodyDiv w:val="1"/>
      <w:marLeft w:val="0"/>
      <w:marRight w:val="0"/>
      <w:marTop w:val="0"/>
      <w:marBottom w:val="0"/>
      <w:divBdr>
        <w:top w:val="none" w:sz="0" w:space="0" w:color="auto"/>
        <w:left w:val="none" w:sz="0" w:space="0" w:color="auto"/>
        <w:bottom w:val="none" w:sz="0" w:space="0" w:color="auto"/>
        <w:right w:val="none" w:sz="0" w:space="0" w:color="auto"/>
      </w:divBdr>
      <w:divsChild>
        <w:div w:id="801653866">
          <w:marLeft w:val="0"/>
          <w:marRight w:val="0"/>
          <w:marTop w:val="0"/>
          <w:marBottom w:val="0"/>
          <w:divBdr>
            <w:top w:val="none" w:sz="0" w:space="0" w:color="auto"/>
            <w:left w:val="none" w:sz="0" w:space="0" w:color="auto"/>
            <w:bottom w:val="none" w:sz="0" w:space="0" w:color="auto"/>
            <w:right w:val="none" w:sz="0" w:space="0" w:color="auto"/>
          </w:divBdr>
        </w:div>
        <w:div w:id="721054333">
          <w:marLeft w:val="0"/>
          <w:marRight w:val="0"/>
          <w:marTop w:val="0"/>
          <w:marBottom w:val="0"/>
          <w:divBdr>
            <w:top w:val="none" w:sz="0" w:space="0" w:color="auto"/>
            <w:left w:val="none" w:sz="0" w:space="0" w:color="auto"/>
            <w:bottom w:val="none" w:sz="0" w:space="0" w:color="auto"/>
            <w:right w:val="none" w:sz="0" w:space="0" w:color="auto"/>
          </w:divBdr>
        </w:div>
        <w:div w:id="1418090069">
          <w:marLeft w:val="0"/>
          <w:marRight w:val="0"/>
          <w:marTop w:val="0"/>
          <w:marBottom w:val="0"/>
          <w:divBdr>
            <w:top w:val="none" w:sz="0" w:space="0" w:color="auto"/>
            <w:left w:val="none" w:sz="0" w:space="0" w:color="auto"/>
            <w:bottom w:val="none" w:sz="0" w:space="0" w:color="auto"/>
            <w:right w:val="none" w:sz="0" w:space="0" w:color="auto"/>
          </w:divBdr>
        </w:div>
        <w:div w:id="760030992">
          <w:marLeft w:val="0"/>
          <w:marRight w:val="0"/>
          <w:marTop w:val="0"/>
          <w:marBottom w:val="0"/>
          <w:divBdr>
            <w:top w:val="none" w:sz="0" w:space="0" w:color="auto"/>
            <w:left w:val="none" w:sz="0" w:space="0" w:color="auto"/>
            <w:bottom w:val="none" w:sz="0" w:space="0" w:color="auto"/>
            <w:right w:val="none" w:sz="0" w:space="0" w:color="auto"/>
          </w:divBdr>
        </w:div>
        <w:div w:id="501941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statistics/incidence-of-tuberculosis-tb-in-cattle-in-great-brit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galina-mukamolova" TargetMode="External"/><Relationship Id="rId5" Type="http://schemas.openxmlformats.org/officeDocument/2006/relationships/hyperlink" Target="mailto:gvm4@leicester.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2024-11-13T14:54:00Z</dcterms:created>
  <dcterms:modified xsi:type="dcterms:W3CDTF">2024-11-13T14:57:00Z</dcterms:modified>
</cp:coreProperties>
</file>