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34BC7" w14:textId="77777777" w:rsidR="00EF0A9E" w:rsidRDefault="00EF0A9E" w:rsidP="00EF0A9E">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rPr>
        <w:t>University of Leicester</w:t>
      </w:r>
      <w:r>
        <w:rPr>
          <w:rStyle w:val="eop"/>
          <w:rFonts w:ascii="Calibri" w:hAnsi="Calibri" w:cs="Calibri"/>
        </w:rPr>
        <w:t> </w:t>
      </w:r>
    </w:p>
    <w:p w14:paraId="118ED209" w14:textId="37662DF4" w:rsidR="00EF0A9E" w:rsidRDefault="00EF0A9E" w:rsidP="00EF0A9E">
      <w:pPr>
        <w:pStyle w:val="paragraph"/>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b/>
          <w:bCs/>
        </w:rPr>
        <w:t>BBSRC MIBTP Studentship Project 2025-6 entry.</w:t>
      </w:r>
      <w:r>
        <w:rPr>
          <w:rStyle w:val="eop"/>
          <w:rFonts w:ascii="Calibri" w:hAnsi="Calibri" w:cs="Calibri"/>
        </w:rPr>
        <w:t> </w:t>
      </w:r>
    </w:p>
    <w:p w14:paraId="1F075E5A" w14:textId="77777777" w:rsidR="00066C81" w:rsidRDefault="00066C81" w:rsidP="00066C81">
      <w:pPr>
        <w:spacing w:after="0" w:line="240" w:lineRule="auto"/>
      </w:pPr>
    </w:p>
    <w:tbl>
      <w:tblPr>
        <w:tblStyle w:val="TableGrid1"/>
        <w:tblW w:w="9034" w:type="dxa"/>
        <w:tblLayout w:type="fixed"/>
        <w:tblLook w:val="04A0" w:firstRow="1" w:lastRow="0" w:firstColumn="1" w:lastColumn="0" w:noHBand="0" w:noVBand="1"/>
      </w:tblPr>
      <w:tblGrid>
        <w:gridCol w:w="3227"/>
        <w:gridCol w:w="5807"/>
      </w:tblGrid>
      <w:tr w:rsidR="00066C81" w:rsidRPr="00066C81" w14:paraId="02121747" w14:textId="77777777" w:rsidTr="00ED69E6">
        <w:tc>
          <w:tcPr>
            <w:tcW w:w="3227" w:type="dxa"/>
            <w:shd w:val="clear" w:color="auto" w:fill="F2F2F2" w:themeFill="background1" w:themeFillShade="F2"/>
          </w:tcPr>
          <w:p w14:paraId="78BB6E55" w14:textId="77777777" w:rsidR="00066C81" w:rsidRPr="00066C81" w:rsidRDefault="00066C81" w:rsidP="00066C81">
            <w:pPr>
              <w:rPr>
                <w:b/>
              </w:rPr>
            </w:pPr>
            <w:r w:rsidRPr="00066C81">
              <w:rPr>
                <w:b/>
              </w:rPr>
              <w:t>First Supervisor</w:t>
            </w:r>
          </w:p>
        </w:tc>
        <w:tc>
          <w:tcPr>
            <w:tcW w:w="5807" w:type="dxa"/>
          </w:tcPr>
          <w:p w14:paraId="4984ADF3" w14:textId="2900EF4E" w:rsidR="00066C81" w:rsidRPr="005A6F20" w:rsidRDefault="005A6F20" w:rsidP="00066C81">
            <w:r w:rsidRPr="005A6F20">
              <w:rPr>
                <w:rStyle w:val="normaltextrun"/>
                <w:rFonts w:ascii="Arial" w:hAnsi="Arial" w:cs="Arial"/>
                <w:shd w:val="clear" w:color="auto" w:fill="FFFFFF"/>
              </w:rPr>
              <w:t>Dr Amanda Chaplin</w:t>
            </w:r>
            <w:r w:rsidRPr="005A6F20">
              <w:rPr>
                <w:rStyle w:val="eop"/>
                <w:rFonts w:ascii="Arial" w:hAnsi="Arial" w:cs="Arial"/>
                <w:shd w:val="clear" w:color="auto" w:fill="FFFFFF"/>
              </w:rPr>
              <w:t> </w:t>
            </w:r>
          </w:p>
        </w:tc>
      </w:tr>
      <w:tr w:rsidR="00066C81" w:rsidRPr="00066C81" w14:paraId="6DC0E45D" w14:textId="77777777" w:rsidTr="00ED69E6">
        <w:tc>
          <w:tcPr>
            <w:tcW w:w="3227" w:type="dxa"/>
            <w:shd w:val="clear" w:color="auto" w:fill="F2F2F2" w:themeFill="background1" w:themeFillShade="F2"/>
          </w:tcPr>
          <w:p w14:paraId="0B13A3A9" w14:textId="77777777" w:rsidR="00066C81" w:rsidRPr="00066C81" w:rsidRDefault="00066C81" w:rsidP="00066C81">
            <w:pPr>
              <w:rPr>
                <w:b/>
              </w:rPr>
            </w:pPr>
            <w:r w:rsidRPr="00066C81">
              <w:rPr>
                <w:b/>
              </w:rPr>
              <w:t>School/Department</w:t>
            </w:r>
          </w:p>
        </w:tc>
        <w:tc>
          <w:tcPr>
            <w:tcW w:w="5807" w:type="dxa"/>
          </w:tcPr>
          <w:p w14:paraId="0B7A4BF6" w14:textId="366A74AD" w:rsidR="00066C81" w:rsidRPr="005A6F20" w:rsidRDefault="005A6F20" w:rsidP="00066C81">
            <w:r w:rsidRPr="005A6F20">
              <w:rPr>
                <w:rStyle w:val="normaltextrun"/>
                <w:rFonts w:ascii="Arial" w:hAnsi="Arial" w:cs="Arial"/>
                <w:bdr w:val="none" w:sz="0" w:space="0" w:color="auto" w:frame="1"/>
              </w:rPr>
              <w:t>Molecular and Cell Biology</w:t>
            </w:r>
          </w:p>
        </w:tc>
      </w:tr>
      <w:tr w:rsidR="003A7DAE" w:rsidRPr="00066C81" w14:paraId="566BAE34" w14:textId="77777777" w:rsidTr="00BA13A1">
        <w:tc>
          <w:tcPr>
            <w:tcW w:w="3227" w:type="dxa"/>
            <w:shd w:val="clear" w:color="auto" w:fill="F2F2F2" w:themeFill="background1" w:themeFillShade="F2"/>
          </w:tcPr>
          <w:p w14:paraId="1C05A3B9" w14:textId="77777777" w:rsidR="003A7DAE" w:rsidRPr="00066C81" w:rsidRDefault="003A7DAE" w:rsidP="00066C81">
            <w:pPr>
              <w:rPr>
                <w:b/>
              </w:rPr>
            </w:pPr>
            <w:r w:rsidRPr="00066C81">
              <w:rPr>
                <w:b/>
              </w:rPr>
              <w:t xml:space="preserve">Email </w:t>
            </w:r>
          </w:p>
        </w:tc>
        <w:tc>
          <w:tcPr>
            <w:tcW w:w="5807" w:type="dxa"/>
          </w:tcPr>
          <w:p w14:paraId="023D1DD8" w14:textId="77777777" w:rsidR="003A7DAE" w:rsidRPr="005A6F20" w:rsidRDefault="005A6F20" w:rsidP="00066C81">
            <w:pPr>
              <w:rPr>
                <w:rStyle w:val="normaltextrun"/>
                <w:rFonts w:ascii="Arial" w:hAnsi="Arial" w:cs="Arial"/>
                <w:shd w:val="clear" w:color="auto" w:fill="FFFFFF"/>
              </w:rPr>
            </w:pPr>
            <w:hyperlink r:id="rId5" w:tgtFrame="_blank" w:history="1">
              <w:r w:rsidRPr="005A6F20">
                <w:rPr>
                  <w:rStyle w:val="normaltextrun"/>
                  <w:rFonts w:ascii="Arial" w:hAnsi="Arial" w:cs="Arial"/>
                  <w:color w:val="0000FF"/>
                  <w:u w:val="single"/>
                  <w:shd w:val="clear" w:color="auto" w:fill="FFFFFF"/>
                </w:rPr>
                <w:t>ac853@leicester.ac.uk</w:t>
              </w:r>
            </w:hyperlink>
            <w:r w:rsidRPr="005A6F20">
              <w:rPr>
                <w:rStyle w:val="normaltextrun"/>
                <w:rFonts w:ascii="Arial" w:hAnsi="Arial" w:cs="Arial"/>
                <w:shd w:val="clear" w:color="auto" w:fill="FFFFFF"/>
              </w:rPr>
              <w:t> </w:t>
            </w:r>
            <w:r w:rsidRPr="005A6F20">
              <w:rPr>
                <w:rStyle w:val="normaltextrun"/>
                <w:rFonts w:ascii="Arial" w:hAnsi="Arial" w:cs="Arial"/>
                <w:shd w:val="clear" w:color="auto" w:fill="FFFFFF"/>
              </w:rPr>
              <w:t xml:space="preserve"> </w:t>
            </w:r>
          </w:p>
          <w:p w14:paraId="28BF855B" w14:textId="485BE671" w:rsidR="005A6F20" w:rsidRPr="005A6F20" w:rsidRDefault="005A6F20" w:rsidP="00066C81">
            <w:hyperlink r:id="rId6" w:tgtFrame="_blank" w:history="1">
              <w:r w:rsidRPr="005A6F20">
                <w:rPr>
                  <w:rStyle w:val="normaltextrun"/>
                  <w:rFonts w:ascii="Arial" w:hAnsi="Arial" w:cs="Arial"/>
                  <w:color w:val="0000FF"/>
                  <w:u w:val="single"/>
                  <w:shd w:val="clear" w:color="auto" w:fill="FFFFFF"/>
                </w:rPr>
                <w:t>https://le.ac.uk/people/amanda-chaplin</w:t>
              </w:r>
            </w:hyperlink>
            <w:r w:rsidRPr="005A6F20">
              <w:rPr>
                <w:rStyle w:val="normaltextrun"/>
                <w:rFonts w:ascii="Arial" w:hAnsi="Arial" w:cs="Arial"/>
                <w:shd w:val="clear" w:color="auto" w:fill="FFFFFF"/>
              </w:rPr>
              <w:t> </w:t>
            </w:r>
          </w:p>
        </w:tc>
      </w:tr>
    </w:tbl>
    <w:p w14:paraId="7C06D8EE" w14:textId="77777777" w:rsidR="00066C81" w:rsidRDefault="00066C81" w:rsidP="00066C81">
      <w:pPr>
        <w:spacing w:after="0" w:line="240" w:lineRule="auto"/>
      </w:pPr>
    </w:p>
    <w:tbl>
      <w:tblPr>
        <w:tblStyle w:val="TableGrid"/>
        <w:tblW w:w="9034" w:type="dxa"/>
        <w:tblLayout w:type="fixed"/>
        <w:tblLook w:val="04A0" w:firstRow="1" w:lastRow="0" w:firstColumn="1" w:lastColumn="0" w:noHBand="0" w:noVBand="1"/>
      </w:tblPr>
      <w:tblGrid>
        <w:gridCol w:w="3256"/>
        <w:gridCol w:w="5778"/>
      </w:tblGrid>
      <w:tr w:rsidR="00066C81" w14:paraId="5A30D420" w14:textId="77777777" w:rsidTr="00066C81">
        <w:tc>
          <w:tcPr>
            <w:tcW w:w="3256" w:type="dxa"/>
            <w:shd w:val="clear" w:color="auto" w:fill="F2F2F2" w:themeFill="background1" w:themeFillShade="F2"/>
          </w:tcPr>
          <w:p w14:paraId="2DBD0CB6" w14:textId="77777777" w:rsidR="00066C81" w:rsidRPr="00B11D52" w:rsidRDefault="00066C81" w:rsidP="00ED69E6">
            <w:pPr>
              <w:rPr>
                <w:b/>
              </w:rPr>
            </w:pPr>
            <w:r>
              <w:rPr>
                <w:b/>
              </w:rPr>
              <w:t>Second Supervisor</w:t>
            </w:r>
          </w:p>
        </w:tc>
        <w:tc>
          <w:tcPr>
            <w:tcW w:w="5778" w:type="dxa"/>
          </w:tcPr>
          <w:p w14:paraId="489D6B79" w14:textId="49178162" w:rsidR="00066C81" w:rsidRPr="005A6F20" w:rsidRDefault="005A6F20" w:rsidP="00ED69E6">
            <w:r w:rsidRPr="005A6F20">
              <w:rPr>
                <w:rStyle w:val="normaltextrun"/>
                <w:rFonts w:ascii="Arial" w:hAnsi="Arial" w:cs="Arial"/>
                <w:bdr w:val="none" w:sz="0" w:space="0" w:color="auto" w:frame="1"/>
              </w:rPr>
              <w:t>Prof Thomas Schalch</w:t>
            </w:r>
          </w:p>
        </w:tc>
      </w:tr>
      <w:tr w:rsidR="00066C81" w14:paraId="04ACFF8B" w14:textId="77777777" w:rsidTr="00066C81">
        <w:tc>
          <w:tcPr>
            <w:tcW w:w="3256" w:type="dxa"/>
            <w:shd w:val="clear" w:color="auto" w:fill="F2F2F2" w:themeFill="background1" w:themeFillShade="F2"/>
          </w:tcPr>
          <w:p w14:paraId="1E46C14B" w14:textId="77777777" w:rsidR="00066C81" w:rsidRDefault="00066C81" w:rsidP="00ED69E6">
            <w:pPr>
              <w:rPr>
                <w:b/>
              </w:rPr>
            </w:pPr>
            <w:r>
              <w:rPr>
                <w:b/>
              </w:rPr>
              <w:t>School/Department</w:t>
            </w:r>
          </w:p>
        </w:tc>
        <w:tc>
          <w:tcPr>
            <w:tcW w:w="5778" w:type="dxa"/>
          </w:tcPr>
          <w:p w14:paraId="1B7222C7" w14:textId="312DBC50" w:rsidR="00066C81" w:rsidRPr="005A6F20" w:rsidRDefault="005A6F20" w:rsidP="00ED69E6">
            <w:r w:rsidRPr="005A6F20">
              <w:rPr>
                <w:rStyle w:val="normaltextrun"/>
                <w:rFonts w:ascii="Arial" w:hAnsi="Arial" w:cs="Arial"/>
                <w:bdr w:val="none" w:sz="0" w:space="0" w:color="auto" w:frame="1"/>
              </w:rPr>
              <w:t>Molecular and Cell Biology</w:t>
            </w:r>
          </w:p>
        </w:tc>
      </w:tr>
      <w:tr w:rsidR="003A7DAE" w14:paraId="1A47049C" w14:textId="77777777" w:rsidTr="0029160A">
        <w:tc>
          <w:tcPr>
            <w:tcW w:w="3256" w:type="dxa"/>
            <w:shd w:val="clear" w:color="auto" w:fill="F2F2F2" w:themeFill="background1" w:themeFillShade="F2"/>
          </w:tcPr>
          <w:p w14:paraId="7BD42367" w14:textId="77777777" w:rsidR="003A7DAE" w:rsidRDefault="003A7DAE" w:rsidP="00ED69E6">
            <w:pPr>
              <w:rPr>
                <w:b/>
              </w:rPr>
            </w:pPr>
            <w:r>
              <w:rPr>
                <w:b/>
              </w:rPr>
              <w:t xml:space="preserve">Email </w:t>
            </w:r>
          </w:p>
        </w:tc>
        <w:tc>
          <w:tcPr>
            <w:tcW w:w="5778" w:type="dxa"/>
          </w:tcPr>
          <w:p w14:paraId="4D06D5DB" w14:textId="31F0D0D5" w:rsidR="003A7DAE" w:rsidRPr="005A6F20" w:rsidRDefault="005A6F20" w:rsidP="00ED69E6">
            <w:hyperlink r:id="rId7" w:tgtFrame="_blank" w:history="1">
              <w:r w:rsidRPr="005A6F20">
                <w:rPr>
                  <w:rStyle w:val="normaltextrun"/>
                  <w:rFonts w:ascii="Arial" w:hAnsi="Arial" w:cs="Arial"/>
                  <w:color w:val="0000FF"/>
                  <w:u w:val="single"/>
                  <w:shd w:val="clear" w:color="auto" w:fill="FFFFFF"/>
                </w:rPr>
                <w:t>thomas.schalch@leicester.ac.uk</w:t>
              </w:r>
            </w:hyperlink>
            <w:r w:rsidRPr="005A6F20">
              <w:rPr>
                <w:rStyle w:val="normaltextrun"/>
                <w:rFonts w:ascii="Arial" w:hAnsi="Arial" w:cs="Arial"/>
                <w:shd w:val="clear" w:color="auto" w:fill="FFFFFF"/>
              </w:rPr>
              <w:t> </w:t>
            </w:r>
          </w:p>
        </w:tc>
      </w:tr>
    </w:tbl>
    <w:p w14:paraId="3188842D" w14:textId="77777777" w:rsidR="00066C81" w:rsidRDefault="00066C81" w:rsidP="00066C81">
      <w:pPr>
        <w:spacing w:after="0" w:line="240" w:lineRule="auto"/>
      </w:pPr>
    </w:p>
    <w:tbl>
      <w:tblPr>
        <w:tblStyle w:val="TableGrid"/>
        <w:tblW w:w="9034" w:type="dxa"/>
        <w:tblLayout w:type="fixed"/>
        <w:tblLook w:val="04A0" w:firstRow="1" w:lastRow="0" w:firstColumn="1" w:lastColumn="0" w:noHBand="0" w:noVBand="1"/>
      </w:tblPr>
      <w:tblGrid>
        <w:gridCol w:w="3256"/>
        <w:gridCol w:w="5778"/>
      </w:tblGrid>
      <w:tr w:rsidR="00066C81" w14:paraId="48BAF998" w14:textId="77777777" w:rsidTr="00066C81">
        <w:tc>
          <w:tcPr>
            <w:tcW w:w="3256" w:type="dxa"/>
            <w:shd w:val="clear" w:color="auto" w:fill="F2F2F2" w:themeFill="background1" w:themeFillShade="F2"/>
          </w:tcPr>
          <w:p w14:paraId="5D439254" w14:textId="77777777" w:rsidR="00066C81" w:rsidRPr="00B11D52" w:rsidRDefault="00066C81" w:rsidP="00ED69E6">
            <w:pPr>
              <w:rPr>
                <w:b/>
              </w:rPr>
            </w:pPr>
            <w:r>
              <w:rPr>
                <w:b/>
              </w:rPr>
              <w:t>Additional Supervisor</w:t>
            </w:r>
          </w:p>
        </w:tc>
        <w:tc>
          <w:tcPr>
            <w:tcW w:w="5778" w:type="dxa"/>
          </w:tcPr>
          <w:p w14:paraId="04519482" w14:textId="77777777" w:rsidR="00066C81" w:rsidRDefault="00066C81" w:rsidP="00ED69E6"/>
        </w:tc>
      </w:tr>
    </w:tbl>
    <w:p w14:paraId="4806292A" w14:textId="77777777" w:rsidR="00066C81" w:rsidRDefault="00066C81" w:rsidP="00066C81">
      <w:pPr>
        <w:spacing w:after="0" w:line="240" w:lineRule="auto"/>
        <w:rPr>
          <w:b/>
          <w:u w:val="single"/>
        </w:rPr>
      </w:pPr>
    </w:p>
    <w:p w14:paraId="2F660E25" w14:textId="77777777" w:rsidR="00066C81" w:rsidRPr="006B05B2" w:rsidRDefault="00066C81" w:rsidP="00066C81">
      <w:pPr>
        <w:spacing w:after="0" w:line="240" w:lineRule="auto"/>
        <w:rPr>
          <w:b/>
          <w:i/>
        </w:rPr>
      </w:pPr>
      <w:r w:rsidRPr="006B05B2">
        <w:rPr>
          <w:b/>
        </w:rPr>
        <w:t xml:space="preserve">Section 2 – </w:t>
      </w:r>
      <w:r w:rsidRPr="006B05B2">
        <w:rPr>
          <w:b/>
          <w:i/>
        </w:rPr>
        <w:t>Project Information</w:t>
      </w:r>
    </w:p>
    <w:tbl>
      <w:tblPr>
        <w:tblStyle w:val="TableGrid"/>
        <w:tblW w:w="0" w:type="auto"/>
        <w:tblLook w:val="04A0" w:firstRow="1" w:lastRow="0" w:firstColumn="1" w:lastColumn="0" w:noHBand="0" w:noVBand="1"/>
      </w:tblPr>
      <w:tblGrid>
        <w:gridCol w:w="2441"/>
        <w:gridCol w:w="7187"/>
      </w:tblGrid>
      <w:tr w:rsidR="005A6F20" w14:paraId="6E42E9E7" w14:textId="77777777" w:rsidTr="00ED69E6">
        <w:tc>
          <w:tcPr>
            <w:tcW w:w="1980" w:type="dxa"/>
            <w:shd w:val="clear" w:color="auto" w:fill="F2F2F2" w:themeFill="background1" w:themeFillShade="F2"/>
          </w:tcPr>
          <w:p w14:paraId="79396BC4" w14:textId="77777777" w:rsidR="00066C81" w:rsidRDefault="00066C81" w:rsidP="00ED69E6">
            <w:pPr>
              <w:rPr>
                <w:b/>
              </w:rPr>
            </w:pPr>
            <w:r>
              <w:rPr>
                <w:b/>
              </w:rPr>
              <w:t>Project Title</w:t>
            </w:r>
          </w:p>
          <w:p w14:paraId="2AE8459A" w14:textId="77777777" w:rsidR="00066C81" w:rsidRPr="00B11D52" w:rsidRDefault="00066C81" w:rsidP="00ED69E6">
            <w:pPr>
              <w:rPr>
                <w:b/>
              </w:rPr>
            </w:pPr>
          </w:p>
        </w:tc>
        <w:tc>
          <w:tcPr>
            <w:tcW w:w="7036" w:type="dxa"/>
          </w:tcPr>
          <w:p w14:paraId="2BC2E11D" w14:textId="01C4FEA2" w:rsidR="00066C81" w:rsidRPr="005A6F20" w:rsidRDefault="005A6F20" w:rsidP="00ED69E6">
            <w:r w:rsidRPr="005A6F20">
              <w:rPr>
                <w:rStyle w:val="normaltextrun"/>
                <w:rFonts w:ascii="Arial" w:hAnsi="Arial" w:cs="Arial"/>
                <w:bdr w:val="none" w:sz="0" w:space="0" w:color="auto" w:frame="1"/>
              </w:rPr>
              <w:t>Redefining the molecular mechanism of DNA double-strand break repair in humans</w:t>
            </w:r>
          </w:p>
        </w:tc>
      </w:tr>
      <w:tr w:rsidR="00066C81" w14:paraId="4C9CB2BA" w14:textId="77777777" w:rsidTr="00ED69E6">
        <w:tc>
          <w:tcPr>
            <w:tcW w:w="9016" w:type="dxa"/>
            <w:gridSpan w:val="2"/>
            <w:shd w:val="clear" w:color="auto" w:fill="F2F2F2" w:themeFill="background1" w:themeFillShade="F2"/>
          </w:tcPr>
          <w:p w14:paraId="3D17942F" w14:textId="77777777" w:rsidR="00066C81" w:rsidRDefault="00066C81" w:rsidP="00066C81">
            <w:r w:rsidRPr="003A7DAE">
              <w:rPr>
                <w:b/>
                <w:highlight w:val="lightGray"/>
              </w:rPr>
              <w:t>Project Summary</w:t>
            </w:r>
            <w:r>
              <w:rPr>
                <w:b/>
              </w:rPr>
              <w:t xml:space="preserve"> </w:t>
            </w:r>
          </w:p>
        </w:tc>
      </w:tr>
      <w:tr w:rsidR="00066C81" w14:paraId="51FA071A" w14:textId="77777777" w:rsidTr="00ED69E6">
        <w:tc>
          <w:tcPr>
            <w:tcW w:w="9016" w:type="dxa"/>
            <w:gridSpan w:val="2"/>
          </w:tcPr>
          <w:p w14:paraId="3DEE5D53" w14:textId="77777777" w:rsidR="005A6F20" w:rsidRDefault="005A6F20" w:rsidP="005A6F20">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DNA double-strand breaks (DSBs) describe a break across both strands of DNA. This type of DNA damage can be catastrophic for cell survival as if not repaired correctly can lead to deletions, translocation, cell death and cancer. Complex processes have evolved to repair this type of DNA damage, including a mechanism called non-homologous end joining (NHEJ). The molecular details of this process are still not completely understood but it is known to involve several core proteins including DNA-PK holoenzyme, formed by a Ku70/80 heterodimer and DNA-dependent protein kinase catalytic subunit (DNA-</w:t>
            </w:r>
            <w:proofErr w:type="spellStart"/>
            <w:r>
              <w:rPr>
                <w:rStyle w:val="normaltextrun"/>
                <w:rFonts w:ascii="Arial" w:hAnsi="Arial" w:cs="Arial"/>
                <w:color w:val="000000"/>
                <w:sz w:val="22"/>
                <w:szCs w:val="22"/>
              </w:rPr>
              <w:t>PKcs</w:t>
            </w:r>
            <w:proofErr w:type="spellEnd"/>
            <w:r>
              <w:rPr>
                <w:rStyle w:val="normaltextrun"/>
                <w:rFonts w:ascii="Arial" w:hAnsi="Arial" w:cs="Arial"/>
                <w:color w:val="000000"/>
                <w:sz w:val="22"/>
                <w:szCs w:val="22"/>
              </w:rPr>
              <w:t xml:space="preserve">) together with DNA. Understanding the structural mechanism of NHEJ has been a long-standing challenge, however recent advances in cryo-electron microscopy have begun to allow us to visualise large complex multicomponent assemblies involved in this process </w:t>
            </w:r>
            <w:r>
              <w:rPr>
                <w:rStyle w:val="normaltextrun"/>
                <w:rFonts w:ascii="Arial" w:hAnsi="Arial" w:cs="Arial"/>
                <w:b/>
                <w:bCs/>
                <w:color w:val="000000"/>
                <w:sz w:val="22"/>
                <w:szCs w:val="22"/>
              </w:rPr>
              <w:t>(Figure1)</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Chaplin et al., 2020, NSMB, Chaplin et al., 2021 Mol Cell, Chen et al.,2021 Nature</w:t>
            </w:r>
            <w:r>
              <w:rPr>
                <w:rStyle w:val="normaltextrun"/>
                <w:rFonts w:ascii="Arial" w:hAnsi="Arial" w:cs="Arial"/>
                <w:color w:val="000000"/>
                <w:sz w:val="22"/>
                <w:szCs w:val="22"/>
              </w:rPr>
              <w:t>). </w:t>
            </w:r>
            <w:r>
              <w:rPr>
                <w:rStyle w:val="eop"/>
                <w:rFonts w:ascii="Arial" w:hAnsi="Arial" w:cs="Arial"/>
                <w:color w:val="000000"/>
                <w:sz w:val="22"/>
                <w:szCs w:val="22"/>
              </w:rPr>
              <w:t> </w:t>
            </w:r>
          </w:p>
          <w:p w14:paraId="7C7F0BF2" w14:textId="77777777" w:rsidR="005A6F20" w:rsidRDefault="005A6F20" w:rsidP="005A6F20">
            <w:pPr>
              <w:pStyle w:val="paragraph"/>
              <w:spacing w:before="0" w:beforeAutospacing="0" w:after="0" w:afterAutospacing="0"/>
              <w:jc w:val="both"/>
              <w:textAlignment w:val="baseline"/>
              <w:rPr>
                <w:rFonts w:ascii="Segoe UI" w:hAnsi="Segoe UI" w:cs="Segoe UI"/>
                <w:sz w:val="18"/>
                <w:szCs w:val="18"/>
              </w:rPr>
            </w:pPr>
            <w:r>
              <w:rPr>
                <w:rFonts w:ascii="Calibri" w:eastAsia="Calibri" w:hAnsi="Calibri" w:cs="Calibri"/>
                <w:b/>
                <w:noProof/>
                <w:color w:val="000000"/>
                <w:sz w:val="22"/>
                <w:szCs w:val="22"/>
              </w:rPr>
              <w:drawing>
                <wp:inline distT="0" distB="0" distL="0" distR="0" wp14:anchorId="09DE929B" wp14:editId="1F4F2E60">
                  <wp:extent cx="5849957" cy="224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0124" cy="2251807"/>
                          </a:xfrm>
                          <a:prstGeom prst="rect">
                            <a:avLst/>
                          </a:prstGeom>
                          <a:noFill/>
                          <a:ln>
                            <a:noFill/>
                          </a:ln>
                        </pic:spPr>
                      </pic:pic>
                    </a:graphicData>
                  </a:graphic>
                </wp:inline>
              </w:drawing>
            </w:r>
            <w:r>
              <w:rPr>
                <w:rStyle w:val="eop"/>
                <w:rFonts w:ascii="Arial" w:hAnsi="Arial" w:cs="Arial"/>
                <w:color w:val="000000"/>
                <w:sz w:val="22"/>
                <w:szCs w:val="22"/>
              </w:rPr>
              <w:t> </w:t>
            </w:r>
          </w:p>
          <w:p w14:paraId="30FA381A" w14:textId="77777777" w:rsidR="005A6F20" w:rsidRDefault="005A6F20" w:rsidP="005A6F20">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0"/>
                <w:sz w:val="22"/>
                <w:szCs w:val="22"/>
              </w:rPr>
              <w:t>Figure 1: Cryo-EM structures of DNA-PK long-range complexes (LRCs) and short-range complex (SRC). a)</w:t>
            </w:r>
            <w:r>
              <w:rPr>
                <w:rStyle w:val="normaltextrun"/>
                <w:rFonts w:ascii="Arial" w:hAnsi="Arial" w:cs="Arial"/>
                <w:color w:val="000000"/>
                <w:sz w:val="22"/>
                <w:szCs w:val="22"/>
              </w:rPr>
              <w:t xml:space="preserve"> Ku80-mediated LRC, </w:t>
            </w:r>
            <w:r>
              <w:rPr>
                <w:rStyle w:val="normaltextrun"/>
                <w:rFonts w:ascii="Arial" w:hAnsi="Arial" w:cs="Arial"/>
                <w:b/>
                <w:bCs/>
                <w:color w:val="000000"/>
                <w:sz w:val="22"/>
                <w:szCs w:val="22"/>
              </w:rPr>
              <w:t>b)</w:t>
            </w:r>
            <w:r>
              <w:rPr>
                <w:rStyle w:val="normaltextrun"/>
                <w:rFonts w:ascii="Arial" w:hAnsi="Arial" w:cs="Arial"/>
                <w:color w:val="000000"/>
                <w:sz w:val="22"/>
                <w:szCs w:val="22"/>
              </w:rPr>
              <w:t xml:space="preserve"> XLF-mediated LRC and </w:t>
            </w:r>
            <w:r>
              <w:rPr>
                <w:rStyle w:val="normaltextrun"/>
                <w:rFonts w:ascii="Arial" w:hAnsi="Arial" w:cs="Arial"/>
                <w:b/>
                <w:bCs/>
                <w:color w:val="000000"/>
                <w:sz w:val="22"/>
                <w:szCs w:val="22"/>
              </w:rPr>
              <w:t>c)</w:t>
            </w:r>
            <w:r>
              <w:rPr>
                <w:rStyle w:val="normaltextrun"/>
                <w:rFonts w:ascii="Arial" w:hAnsi="Arial" w:cs="Arial"/>
                <w:color w:val="000000"/>
                <w:sz w:val="22"/>
                <w:szCs w:val="22"/>
              </w:rPr>
              <w:t xml:space="preserve"> SRC. </w:t>
            </w:r>
            <w:r>
              <w:rPr>
                <w:rStyle w:val="eop"/>
                <w:rFonts w:ascii="Arial" w:hAnsi="Arial" w:cs="Arial"/>
                <w:color w:val="000000"/>
                <w:sz w:val="22"/>
                <w:szCs w:val="22"/>
              </w:rPr>
              <w:t> </w:t>
            </w:r>
          </w:p>
          <w:p w14:paraId="0A471A96" w14:textId="77777777" w:rsidR="005A6F20" w:rsidRDefault="005A6F20" w:rsidP="005A6F20">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64D39780" w14:textId="77777777" w:rsidR="005A6F20" w:rsidRDefault="005A6F20" w:rsidP="005A6F20">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 xml:space="preserve">Traditionally, the process of NHEJ is depicted as following three linear steps, termed synapsis, end-processing and ligation </w:t>
            </w:r>
            <w:r>
              <w:rPr>
                <w:rStyle w:val="normaltextrun"/>
                <w:rFonts w:ascii="Arial" w:hAnsi="Arial" w:cs="Arial"/>
                <w:b/>
                <w:bCs/>
                <w:color w:val="000000"/>
                <w:sz w:val="22"/>
                <w:szCs w:val="22"/>
              </w:rPr>
              <w:t>(Figure 2a)</w:t>
            </w:r>
            <w:r>
              <w:rPr>
                <w:rStyle w:val="normaltextrun"/>
                <w:rFonts w:ascii="Arial" w:hAnsi="Arial" w:cs="Arial"/>
                <w:color w:val="000000"/>
                <w:sz w:val="22"/>
                <w:szCs w:val="22"/>
              </w:rPr>
              <w:t xml:space="preserve">. However, the rapidly expanding structural portfolio of these NHEJ assemblies has provided glimpses of unexpected arrangements of complexes that do not fit the traditional model. These structures are, leading us to consider a more complex branched model </w:t>
            </w:r>
            <w:r>
              <w:rPr>
                <w:rStyle w:val="normaltextrun"/>
                <w:rFonts w:ascii="Arial" w:hAnsi="Arial" w:cs="Arial"/>
                <w:b/>
                <w:bCs/>
                <w:color w:val="000000"/>
                <w:sz w:val="22"/>
                <w:szCs w:val="22"/>
              </w:rPr>
              <w:t>(Figure 2b)</w:t>
            </w:r>
            <w:r>
              <w:rPr>
                <w:rStyle w:val="normaltextrun"/>
                <w:rFonts w:ascii="Arial" w:hAnsi="Arial" w:cs="Arial"/>
                <w:color w:val="000000"/>
                <w:sz w:val="22"/>
                <w:szCs w:val="22"/>
              </w:rPr>
              <w:t>.</w:t>
            </w:r>
            <w:r>
              <w:rPr>
                <w:rStyle w:val="normaltextrun"/>
                <w:rFonts w:ascii="Arial" w:hAnsi="Arial" w:cs="Arial"/>
                <w:b/>
                <w:bCs/>
                <w:color w:val="000000"/>
                <w:sz w:val="22"/>
                <w:szCs w:val="22"/>
              </w:rPr>
              <w:t xml:space="preserve"> </w:t>
            </w:r>
            <w:r>
              <w:rPr>
                <w:rStyle w:val="normaltextrun"/>
                <w:rFonts w:ascii="Arial" w:hAnsi="Arial" w:cs="Arial"/>
                <w:color w:val="000000"/>
                <w:sz w:val="22"/>
                <w:szCs w:val="22"/>
              </w:rPr>
              <w:t>The aim of this PhD proposal is to determine the time it takes for this mechanism to occur, to understand what dictates it and capture intermediate states. </w:t>
            </w:r>
            <w:r>
              <w:rPr>
                <w:rStyle w:val="eop"/>
                <w:rFonts w:ascii="Arial" w:hAnsi="Arial" w:cs="Arial"/>
                <w:color w:val="000000"/>
                <w:sz w:val="22"/>
                <w:szCs w:val="22"/>
              </w:rPr>
              <w:t> </w:t>
            </w:r>
          </w:p>
          <w:p w14:paraId="2467ED62" w14:textId="77777777" w:rsidR="005A6F20" w:rsidRDefault="005A6F20" w:rsidP="005A6F20">
            <w:pPr>
              <w:pStyle w:val="paragraph"/>
              <w:spacing w:before="0" w:beforeAutospacing="0" w:after="0" w:afterAutospacing="0"/>
              <w:textAlignment w:val="baseline"/>
              <w:rPr>
                <w:rFonts w:ascii="Segoe UI" w:hAnsi="Segoe UI" w:cs="Segoe UI"/>
                <w:sz w:val="18"/>
                <w:szCs w:val="18"/>
              </w:rPr>
            </w:pPr>
            <w:r>
              <w:rPr>
                <w:rFonts w:ascii="Calibri" w:eastAsia="Calibri" w:hAnsi="Calibri" w:cs="Calibri"/>
                <w:b/>
                <w:noProof/>
                <w:color w:val="000000"/>
                <w:sz w:val="22"/>
                <w:szCs w:val="22"/>
              </w:rPr>
              <w:lastRenderedPageBreak/>
              <w:drawing>
                <wp:inline distT="0" distB="0" distL="0" distR="0" wp14:anchorId="4C32C8B7" wp14:editId="5CD2E6E9">
                  <wp:extent cx="5954884" cy="31242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8113" cy="3136387"/>
                          </a:xfrm>
                          <a:prstGeom prst="rect">
                            <a:avLst/>
                          </a:prstGeom>
                          <a:noFill/>
                          <a:ln>
                            <a:noFill/>
                          </a:ln>
                        </pic:spPr>
                      </pic:pic>
                    </a:graphicData>
                  </a:graphic>
                </wp:inline>
              </w:drawing>
            </w:r>
            <w:r>
              <w:rPr>
                <w:rStyle w:val="eop"/>
                <w:rFonts w:ascii="Arial" w:hAnsi="Arial" w:cs="Arial"/>
                <w:color w:val="000000"/>
                <w:sz w:val="22"/>
                <w:szCs w:val="22"/>
              </w:rPr>
              <w:t> </w:t>
            </w:r>
          </w:p>
          <w:p w14:paraId="420A80F3" w14:textId="77777777" w:rsidR="005A6F20" w:rsidRDefault="005A6F20" w:rsidP="005A6F2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2"/>
                <w:szCs w:val="22"/>
              </w:rPr>
              <w:t xml:space="preserve">Figure 2: Traditional versus branched models of NHEJ. </w:t>
            </w:r>
            <w:r>
              <w:rPr>
                <w:rStyle w:val="normaltextrun"/>
                <w:rFonts w:ascii="Arial" w:hAnsi="Arial" w:cs="Arial"/>
                <w:color w:val="000000"/>
                <w:sz w:val="22"/>
                <w:szCs w:val="22"/>
              </w:rPr>
              <w:t>DNA-</w:t>
            </w:r>
            <w:proofErr w:type="spellStart"/>
            <w:r>
              <w:rPr>
                <w:rStyle w:val="normaltextrun"/>
                <w:rFonts w:ascii="Arial" w:hAnsi="Arial" w:cs="Arial"/>
                <w:color w:val="000000"/>
                <w:sz w:val="22"/>
                <w:szCs w:val="22"/>
              </w:rPr>
              <w:t>PKcs</w:t>
            </w:r>
            <w:proofErr w:type="spellEnd"/>
            <w:r>
              <w:rPr>
                <w:rStyle w:val="normaltextrun"/>
                <w:rFonts w:ascii="Arial" w:hAnsi="Arial" w:cs="Arial"/>
                <w:color w:val="000000"/>
                <w:sz w:val="22"/>
                <w:szCs w:val="22"/>
              </w:rPr>
              <w:t xml:space="preserve"> is shown in grey, Ku70/80 orange/green, polymerases blue, nucleases beige, ligase IV red, XLF pink and XRCC4 navy. </w:t>
            </w:r>
            <w:r>
              <w:rPr>
                <w:rStyle w:val="normaltextrun"/>
                <w:rFonts w:ascii="Arial" w:hAnsi="Arial" w:cs="Arial"/>
                <w:b/>
                <w:bCs/>
                <w:color w:val="000000"/>
                <w:sz w:val="22"/>
                <w:szCs w:val="22"/>
              </w:rPr>
              <w:t>a)</w:t>
            </w:r>
            <w:r>
              <w:rPr>
                <w:rStyle w:val="normaltextrun"/>
                <w:rFonts w:ascii="Arial" w:hAnsi="Arial" w:cs="Arial"/>
                <w:color w:val="000000"/>
                <w:sz w:val="22"/>
                <w:szCs w:val="22"/>
              </w:rPr>
              <w:t xml:space="preserve"> Displays the traditional view and </w:t>
            </w:r>
            <w:r>
              <w:rPr>
                <w:rStyle w:val="normaltextrun"/>
                <w:rFonts w:ascii="Arial" w:hAnsi="Arial" w:cs="Arial"/>
                <w:b/>
                <w:bCs/>
                <w:color w:val="000000"/>
                <w:sz w:val="22"/>
                <w:szCs w:val="22"/>
              </w:rPr>
              <w:t>b)</w:t>
            </w:r>
            <w:r>
              <w:rPr>
                <w:rStyle w:val="normaltextrun"/>
                <w:rFonts w:ascii="Arial" w:hAnsi="Arial" w:cs="Arial"/>
                <w:color w:val="000000"/>
                <w:sz w:val="22"/>
                <w:szCs w:val="22"/>
              </w:rPr>
              <w:t xml:space="preserve"> the complex mechanism with key questions coloured in blue</w:t>
            </w:r>
            <w:r>
              <w:rPr>
                <w:rStyle w:val="eop"/>
                <w:rFonts w:ascii="Arial" w:hAnsi="Arial" w:cs="Arial"/>
                <w:color w:val="000000"/>
                <w:sz w:val="22"/>
                <w:szCs w:val="22"/>
              </w:rPr>
              <w:t> </w:t>
            </w:r>
          </w:p>
          <w:p w14:paraId="2801B488" w14:textId="77777777" w:rsidR="005A6F20" w:rsidRDefault="005A6F20" w:rsidP="005A6F20">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64779F78" w14:textId="77777777" w:rsidR="005A6F20" w:rsidRDefault="005A6F20" w:rsidP="005A6F20">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 xml:space="preserve">Moreover, as part of this proposal, we aim to move away from considering how the NHEJ machinery processes isolated, linear DNA substrates, and instead put greater emphasis on more biologically relevant substrates. DNA is packaged within the cell in nucleosomes and chromatin, it is unknown how the NHEJ machinery access DSBs when packaged in nucleosomes. We have recently visualised Ku70/80 binding to nucleosomes </w:t>
            </w:r>
            <w:r>
              <w:rPr>
                <w:rStyle w:val="normaltextrun"/>
                <w:rFonts w:ascii="Arial" w:hAnsi="Arial" w:cs="Arial"/>
                <w:b/>
                <w:bCs/>
                <w:color w:val="000000"/>
                <w:sz w:val="22"/>
                <w:szCs w:val="22"/>
              </w:rPr>
              <w:t>(Figure 3)</w:t>
            </w:r>
            <w:r>
              <w:rPr>
                <w:rStyle w:val="normaltextrun"/>
                <w:rFonts w:ascii="Arial" w:hAnsi="Arial" w:cs="Arial"/>
                <w:color w:val="000000"/>
                <w:sz w:val="22"/>
                <w:szCs w:val="22"/>
              </w:rPr>
              <w:t>. As part of this PhD proposal, we will investigate access and interactions between the NHEJ proteins and nucleosomes and determine the mechanism of DNA-repair. </w:t>
            </w:r>
            <w:r>
              <w:rPr>
                <w:rStyle w:val="eop"/>
                <w:rFonts w:ascii="Arial" w:hAnsi="Arial" w:cs="Arial"/>
                <w:color w:val="000000"/>
                <w:sz w:val="22"/>
                <w:szCs w:val="22"/>
              </w:rPr>
              <w:t> </w:t>
            </w:r>
          </w:p>
          <w:p w14:paraId="5C2DA52B" w14:textId="77777777" w:rsidR="005A6F20" w:rsidRDefault="005A6F20" w:rsidP="005A6F20">
            <w:pPr>
              <w:pStyle w:val="paragraph"/>
              <w:spacing w:before="0" w:beforeAutospacing="0" w:after="0" w:afterAutospacing="0"/>
              <w:jc w:val="both"/>
              <w:textAlignment w:val="baseline"/>
              <w:rPr>
                <w:rFonts w:ascii="Segoe UI" w:hAnsi="Segoe UI" w:cs="Segoe UI"/>
                <w:sz w:val="18"/>
                <w:szCs w:val="18"/>
              </w:rPr>
            </w:pPr>
            <w:r>
              <w:rPr>
                <w:rFonts w:ascii="Calibri" w:eastAsia="Calibri" w:hAnsi="Calibri" w:cs="Calibri"/>
                <w:b/>
                <w:noProof/>
                <w:color w:val="000000"/>
                <w:sz w:val="22"/>
                <w:szCs w:val="22"/>
              </w:rPr>
              <w:drawing>
                <wp:inline distT="0" distB="0" distL="0" distR="0" wp14:anchorId="7F9F4F30" wp14:editId="2993E1EA">
                  <wp:extent cx="3638550" cy="33084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6045" cy="3342519"/>
                          </a:xfrm>
                          <a:prstGeom prst="rect">
                            <a:avLst/>
                          </a:prstGeom>
                          <a:noFill/>
                          <a:ln>
                            <a:noFill/>
                          </a:ln>
                        </pic:spPr>
                      </pic:pic>
                    </a:graphicData>
                  </a:graphic>
                </wp:inline>
              </w:drawing>
            </w:r>
            <w:r>
              <w:rPr>
                <w:rStyle w:val="eop"/>
                <w:rFonts w:ascii="Arial" w:hAnsi="Arial" w:cs="Arial"/>
                <w:color w:val="000000"/>
                <w:sz w:val="22"/>
                <w:szCs w:val="22"/>
              </w:rPr>
              <w:t> </w:t>
            </w:r>
          </w:p>
          <w:p w14:paraId="5E265602" w14:textId="77777777" w:rsidR="005A6F20" w:rsidRDefault="005A6F20" w:rsidP="005A6F20">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0"/>
                <w:sz w:val="22"/>
                <w:szCs w:val="22"/>
              </w:rPr>
              <w:t xml:space="preserve">Figure 3: Cryo-EM structure of Ku70/80 bound to a nucleosome. </w:t>
            </w:r>
            <w:r>
              <w:rPr>
                <w:rStyle w:val="normaltextrun"/>
                <w:rFonts w:ascii="Arial" w:hAnsi="Arial" w:cs="Arial"/>
                <w:color w:val="000000"/>
                <w:sz w:val="22"/>
                <w:szCs w:val="22"/>
              </w:rPr>
              <w:t>Ku70 is in orange, Ku80 in green, DNA in grey. </w:t>
            </w:r>
            <w:r>
              <w:rPr>
                <w:rStyle w:val="eop"/>
                <w:rFonts w:ascii="Arial" w:hAnsi="Arial" w:cs="Arial"/>
                <w:color w:val="000000"/>
                <w:sz w:val="22"/>
                <w:szCs w:val="22"/>
              </w:rPr>
              <w:t> </w:t>
            </w:r>
          </w:p>
          <w:p w14:paraId="7FBE806F" w14:textId="77777777" w:rsidR="005A6F20" w:rsidRDefault="005A6F20" w:rsidP="005A6F20">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4A52303D" w14:textId="77777777" w:rsidR="005A6F20" w:rsidRDefault="005A6F20" w:rsidP="005A6F20">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4E116F33" w14:textId="77777777" w:rsidR="005A6F20" w:rsidRDefault="005A6F20" w:rsidP="005A6F20">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0DE3C59B" w14:textId="77777777" w:rsidR="005A6F20" w:rsidRDefault="005A6F20" w:rsidP="005A6F20">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lastRenderedPageBreak/>
              <w:t> </w:t>
            </w:r>
          </w:p>
          <w:p w14:paraId="7620891F" w14:textId="77777777" w:rsidR="005A6F20" w:rsidRDefault="005A6F20" w:rsidP="005A6F20">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Ultimately, the data produced by this project will define the fundamental mechanism of NHEJ and guide the design of more specific therapeutics to target NHEJ. Targeting NHEJ has been shown to be effective in cancer therapies when used in combination with chemo- and radiotherapy.</w:t>
            </w:r>
            <w:r>
              <w:rPr>
                <w:rStyle w:val="normaltextrun"/>
                <w:rFonts w:ascii="Arial" w:hAnsi="Arial" w:cs="Arial"/>
                <w:b/>
                <w:bCs/>
                <w:color w:val="000000"/>
                <w:sz w:val="22"/>
                <w:szCs w:val="22"/>
              </w:rPr>
              <w:t xml:space="preserve"> </w:t>
            </w:r>
            <w:r>
              <w:rPr>
                <w:rStyle w:val="normaltextrun"/>
                <w:rFonts w:ascii="Arial" w:hAnsi="Arial" w:cs="Arial"/>
                <w:color w:val="000000"/>
                <w:sz w:val="22"/>
                <w:szCs w:val="22"/>
              </w:rPr>
              <w:t>We have recently shown the power of cryo-EM in determining the molecular details of specific inhibitors, bound to DNA-</w:t>
            </w:r>
            <w:proofErr w:type="spellStart"/>
            <w:r>
              <w:rPr>
                <w:rStyle w:val="normaltextrun"/>
                <w:rFonts w:ascii="Arial" w:hAnsi="Arial" w:cs="Arial"/>
                <w:color w:val="000000"/>
                <w:sz w:val="22"/>
                <w:szCs w:val="22"/>
              </w:rPr>
              <w:t>PKcs</w:t>
            </w:r>
            <w:proofErr w:type="spellEnd"/>
            <w:r>
              <w:rPr>
                <w:rStyle w:val="normaltextrun"/>
                <w:rFonts w:ascii="Arial" w:hAnsi="Arial" w:cs="Arial"/>
                <w:color w:val="000000"/>
                <w:sz w:val="22"/>
                <w:szCs w:val="22"/>
              </w:rPr>
              <w:t xml:space="preserve">. </w:t>
            </w:r>
            <w:r>
              <w:rPr>
                <w:rStyle w:val="normaltextrun"/>
                <w:rFonts w:ascii="Arial" w:hAnsi="Arial" w:cs="Arial"/>
                <w:sz w:val="22"/>
                <w:szCs w:val="22"/>
              </w:rPr>
              <w:t>Therefore, understanding the detail of this mechanism is crucial in the development and design of future therapies. </w:t>
            </w:r>
            <w:r>
              <w:rPr>
                <w:rStyle w:val="eop"/>
                <w:rFonts w:ascii="Arial" w:hAnsi="Arial" w:cs="Arial"/>
                <w:sz w:val="22"/>
                <w:szCs w:val="22"/>
              </w:rPr>
              <w:t> </w:t>
            </w:r>
          </w:p>
          <w:p w14:paraId="593964D8" w14:textId="77777777" w:rsidR="005A6F20" w:rsidRDefault="005A6F20" w:rsidP="005A6F20">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328179BD" w14:textId="1E8A24CF" w:rsidR="00066C81" w:rsidRDefault="005A6F20" w:rsidP="00ED69E6">
            <w:pPr>
              <w:rPr>
                <w:b/>
              </w:rPr>
            </w:pPr>
            <w:r>
              <w:rPr>
                <w:rStyle w:val="normaltextrun"/>
                <w:rFonts w:ascii="Arial" w:hAnsi="Arial" w:cs="Arial"/>
                <w:bdr w:val="none" w:sz="0" w:space="0" w:color="auto" w:frame="1"/>
              </w:rPr>
              <w:t>T</w:t>
            </w:r>
            <w:r>
              <w:rPr>
                <w:rStyle w:val="normaltextrun"/>
                <w:rFonts w:ascii="Arial" w:hAnsi="Arial" w:cs="Arial"/>
                <w:bdr w:val="none" w:sz="0" w:space="0" w:color="auto" w:frame="1"/>
              </w:rPr>
              <w:t>echniques that will be undertaken during the project</w:t>
            </w:r>
          </w:p>
          <w:p w14:paraId="42F02D3B" w14:textId="77777777" w:rsidR="005A6F20" w:rsidRDefault="005A6F20" w:rsidP="005A6F20">
            <w:pPr>
              <w:pStyle w:val="paragraph"/>
              <w:numPr>
                <w:ilvl w:val="0"/>
                <w:numId w:val="2"/>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Cryo-EM and X-ray crystallography – sample preparation, data collection, processing and analysis.</w:t>
            </w:r>
            <w:r>
              <w:rPr>
                <w:rStyle w:val="eop"/>
                <w:rFonts w:ascii="Arial" w:hAnsi="Arial" w:cs="Arial"/>
                <w:sz w:val="22"/>
                <w:szCs w:val="22"/>
              </w:rPr>
              <w:t> </w:t>
            </w:r>
          </w:p>
          <w:p w14:paraId="130417EA" w14:textId="77777777" w:rsidR="005A6F20" w:rsidRDefault="005A6F20" w:rsidP="005A6F20">
            <w:pPr>
              <w:pStyle w:val="paragraph"/>
              <w:numPr>
                <w:ilvl w:val="0"/>
                <w:numId w:val="3"/>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Biophysical techniques such as ITC, EMSA, gel filtration, Octet/BLI.</w:t>
            </w:r>
            <w:r>
              <w:rPr>
                <w:rStyle w:val="eop"/>
                <w:rFonts w:ascii="Arial" w:hAnsi="Arial" w:cs="Arial"/>
                <w:sz w:val="22"/>
                <w:szCs w:val="22"/>
              </w:rPr>
              <w:t> </w:t>
            </w:r>
          </w:p>
          <w:p w14:paraId="1F161991" w14:textId="77777777" w:rsidR="005A6F20" w:rsidRDefault="005A6F20" w:rsidP="005A6F20">
            <w:pPr>
              <w:pStyle w:val="paragraph"/>
              <w:numPr>
                <w:ilvl w:val="0"/>
                <w:numId w:val="4"/>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Molecular biology such as PCR, ligations, mutagenesis plasmid construction and DNA isolation.</w:t>
            </w:r>
            <w:r>
              <w:rPr>
                <w:rStyle w:val="eop"/>
                <w:rFonts w:ascii="Arial" w:hAnsi="Arial" w:cs="Arial"/>
                <w:sz w:val="22"/>
                <w:szCs w:val="22"/>
              </w:rPr>
              <w:t> </w:t>
            </w:r>
          </w:p>
          <w:p w14:paraId="2DDF93F0" w14:textId="77777777" w:rsidR="005A6F20" w:rsidRDefault="005A6F20" w:rsidP="005A6F20">
            <w:pPr>
              <w:pStyle w:val="paragraph"/>
              <w:numPr>
                <w:ilvl w:val="0"/>
                <w:numId w:val="5"/>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 xml:space="preserve">Protein expression and purification – Insect cells, </w:t>
            </w:r>
            <w:r>
              <w:rPr>
                <w:rStyle w:val="normaltextrun"/>
                <w:rFonts w:ascii="Arial" w:hAnsi="Arial" w:cs="Arial"/>
                <w:i/>
                <w:iCs/>
                <w:sz w:val="22"/>
                <w:szCs w:val="22"/>
              </w:rPr>
              <w:t>E. coli</w:t>
            </w:r>
            <w:r>
              <w:rPr>
                <w:rStyle w:val="normaltextrun"/>
                <w:rFonts w:ascii="Arial" w:hAnsi="Arial" w:cs="Arial"/>
                <w:sz w:val="22"/>
                <w:szCs w:val="22"/>
              </w:rPr>
              <w:t xml:space="preserve"> and human cell extracts using AKTA purification systems. </w:t>
            </w:r>
            <w:r>
              <w:rPr>
                <w:rStyle w:val="eop"/>
                <w:rFonts w:ascii="Arial" w:hAnsi="Arial" w:cs="Arial"/>
                <w:sz w:val="22"/>
                <w:szCs w:val="22"/>
              </w:rPr>
              <w:t> </w:t>
            </w:r>
          </w:p>
          <w:p w14:paraId="258DFB55" w14:textId="6055B849" w:rsidR="00066C81" w:rsidRPr="005A6F20" w:rsidRDefault="005A6F20" w:rsidP="00ED69E6">
            <w:pPr>
              <w:pStyle w:val="paragraph"/>
              <w:numPr>
                <w:ilvl w:val="0"/>
                <w:numId w:val="6"/>
              </w:numPr>
              <w:spacing w:before="0" w:beforeAutospacing="0" w:after="0" w:afterAutospacing="0"/>
              <w:ind w:left="1080" w:firstLine="0"/>
              <w:textAlignment w:val="baseline"/>
              <w:rPr>
                <w:rFonts w:ascii="Arial" w:hAnsi="Arial" w:cs="Arial"/>
                <w:sz w:val="22"/>
                <w:szCs w:val="22"/>
              </w:rPr>
            </w:pPr>
            <w:r>
              <w:rPr>
                <w:rStyle w:val="normaltextrun"/>
                <w:rFonts w:ascii="Arial" w:hAnsi="Arial" w:cs="Arial"/>
                <w:sz w:val="22"/>
                <w:szCs w:val="22"/>
              </w:rPr>
              <w:t>Biochemistry techniques such as SDS-PAGE gels, ligation assays, kinase activity, mass spectrometry.</w:t>
            </w:r>
            <w:r>
              <w:rPr>
                <w:rStyle w:val="eop"/>
                <w:rFonts w:ascii="Arial" w:hAnsi="Arial" w:cs="Arial"/>
                <w:sz w:val="22"/>
                <w:szCs w:val="22"/>
              </w:rPr>
              <w:t> </w:t>
            </w:r>
          </w:p>
          <w:p w14:paraId="52EFBB87" w14:textId="77777777" w:rsidR="00066C81" w:rsidRDefault="00066C81" w:rsidP="00ED69E6">
            <w:pPr>
              <w:rPr>
                <w:b/>
              </w:rPr>
            </w:pPr>
          </w:p>
        </w:tc>
      </w:tr>
      <w:tr w:rsidR="003A7DAE" w14:paraId="703CFC4C" w14:textId="77777777" w:rsidTr="001C1AF7">
        <w:tc>
          <w:tcPr>
            <w:tcW w:w="9016" w:type="dxa"/>
            <w:gridSpan w:val="2"/>
            <w:shd w:val="clear" w:color="auto" w:fill="F2F2F2" w:themeFill="background1" w:themeFillShade="F2"/>
          </w:tcPr>
          <w:p w14:paraId="40B4B97E" w14:textId="39FA6C4F" w:rsidR="003A7DAE" w:rsidRDefault="003A7DAE" w:rsidP="001C1AF7">
            <w:r>
              <w:rPr>
                <w:b/>
              </w:rPr>
              <w:lastRenderedPageBreak/>
              <w:t>References</w:t>
            </w:r>
          </w:p>
        </w:tc>
      </w:tr>
      <w:tr w:rsidR="003A7DAE" w14:paraId="6D3114C6" w14:textId="77777777" w:rsidTr="00ED69E6">
        <w:tc>
          <w:tcPr>
            <w:tcW w:w="9016" w:type="dxa"/>
            <w:gridSpan w:val="2"/>
          </w:tcPr>
          <w:p w14:paraId="17804839" w14:textId="77777777" w:rsidR="003A7DAE" w:rsidRDefault="003A7DAE" w:rsidP="00ED69E6">
            <w:pPr>
              <w:rPr>
                <w:b/>
              </w:rPr>
            </w:pPr>
          </w:p>
          <w:p w14:paraId="7B9A96D4" w14:textId="77777777" w:rsidR="003A7DAE" w:rsidRDefault="003A7DAE" w:rsidP="00ED69E6">
            <w:pPr>
              <w:rPr>
                <w:b/>
              </w:rPr>
            </w:pPr>
          </w:p>
          <w:p w14:paraId="26779BDF" w14:textId="77777777" w:rsidR="003A7DAE" w:rsidRDefault="003A7DAE" w:rsidP="00ED69E6">
            <w:pPr>
              <w:rPr>
                <w:b/>
              </w:rPr>
            </w:pPr>
          </w:p>
          <w:p w14:paraId="7D2CFDBB" w14:textId="77777777" w:rsidR="003A7DAE" w:rsidRDefault="003A7DAE" w:rsidP="00ED69E6">
            <w:pPr>
              <w:rPr>
                <w:b/>
              </w:rPr>
            </w:pPr>
          </w:p>
          <w:p w14:paraId="4CC99A4B" w14:textId="55A384DD" w:rsidR="003A7DAE" w:rsidRDefault="003A7DAE" w:rsidP="00ED69E6">
            <w:pPr>
              <w:rPr>
                <w:b/>
              </w:rPr>
            </w:pPr>
          </w:p>
        </w:tc>
      </w:tr>
    </w:tbl>
    <w:p w14:paraId="7FEF6135" w14:textId="77777777" w:rsidR="00066C81" w:rsidRDefault="00066C81" w:rsidP="00066C81">
      <w:pPr>
        <w:spacing w:after="0" w:line="240" w:lineRule="auto"/>
        <w:rPr>
          <w:b/>
          <w:u w:val="single"/>
        </w:rPr>
      </w:pPr>
    </w:p>
    <w:p w14:paraId="1D713C9F" w14:textId="77777777" w:rsidR="00066C81" w:rsidRPr="00BD5F21" w:rsidRDefault="00066C81" w:rsidP="00066C81">
      <w:pPr>
        <w:spacing w:after="0" w:line="240" w:lineRule="auto"/>
        <w:rPr>
          <w:b/>
          <w:bCs/>
        </w:rPr>
      </w:pPr>
    </w:p>
    <w:sectPr w:rsidR="00066C81" w:rsidRPr="00BD5F21" w:rsidSect="00477FE3">
      <w:pgSz w:w="11906" w:h="16838"/>
      <w:pgMar w:top="1276" w:right="1135" w:bottom="709" w:left="1133" w:header="720" w:footer="88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00350"/>
    <w:multiLevelType w:val="multilevel"/>
    <w:tmpl w:val="70CA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ED7FB3"/>
    <w:multiLevelType w:val="multilevel"/>
    <w:tmpl w:val="B3BA5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EF085C"/>
    <w:multiLevelType w:val="multilevel"/>
    <w:tmpl w:val="B6544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EA44F58"/>
    <w:multiLevelType w:val="multilevel"/>
    <w:tmpl w:val="56B6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F0E7FA4"/>
    <w:multiLevelType w:val="multilevel"/>
    <w:tmpl w:val="0E24E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1D10D40"/>
    <w:multiLevelType w:val="hybridMultilevel"/>
    <w:tmpl w:val="0F0A7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C81"/>
    <w:rsid w:val="00066C81"/>
    <w:rsid w:val="000D3D42"/>
    <w:rsid w:val="003A7DAE"/>
    <w:rsid w:val="005A1DEA"/>
    <w:rsid w:val="005A6F20"/>
    <w:rsid w:val="006F46FB"/>
    <w:rsid w:val="009C47A8"/>
    <w:rsid w:val="00AE49DF"/>
    <w:rsid w:val="00BB70D0"/>
    <w:rsid w:val="00BD5F21"/>
    <w:rsid w:val="00DE6413"/>
    <w:rsid w:val="00EF0A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4C236"/>
  <w15:chartTrackingRefBased/>
  <w15:docId w15:val="{87EC11FF-9B23-4746-AD2B-2639FE3C0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C81"/>
    <w:rPr>
      <w:rFonts w:ascii="Calibri" w:eastAsia="Calibri" w:hAnsi="Calibri" w:cs="Calibri"/>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6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49DF"/>
    <w:pPr>
      <w:ind w:left="720"/>
      <w:contextualSpacing/>
    </w:pPr>
  </w:style>
  <w:style w:type="character" w:styleId="Hyperlink">
    <w:name w:val="Hyperlink"/>
    <w:basedOn w:val="DefaultParagraphFont"/>
    <w:uiPriority w:val="99"/>
    <w:unhideWhenUsed/>
    <w:rsid w:val="00AE49DF"/>
    <w:rPr>
      <w:color w:val="0563C1" w:themeColor="hyperlink"/>
      <w:u w:val="single"/>
    </w:rPr>
  </w:style>
  <w:style w:type="character" w:styleId="UnresolvedMention">
    <w:name w:val="Unresolved Mention"/>
    <w:basedOn w:val="DefaultParagraphFont"/>
    <w:uiPriority w:val="99"/>
    <w:semiHidden/>
    <w:unhideWhenUsed/>
    <w:rsid w:val="00AE49DF"/>
    <w:rPr>
      <w:color w:val="605E5C"/>
      <w:shd w:val="clear" w:color="auto" w:fill="E1DFDD"/>
    </w:rPr>
  </w:style>
  <w:style w:type="paragraph" w:customStyle="1" w:styleId="paragraph">
    <w:name w:val="paragraph"/>
    <w:basedOn w:val="Normal"/>
    <w:rsid w:val="00EF0A9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EF0A9E"/>
  </w:style>
  <w:style w:type="character" w:customStyle="1" w:styleId="eop">
    <w:name w:val="eop"/>
    <w:basedOn w:val="DefaultParagraphFont"/>
    <w:rsid w:val="00EF0A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50125">
      <w:bodyDiv w:val="1"/>
      <w:marLeft w:val="0"/>
      <w:marRight w:val="0"/>
      <w:marTop w:val="0"/>
      <w:marBottom w:val="0"/>
      <w:divBdr>
        <w:top w:val="none" w:sz="0" w:space="0" w:color="auto"/>
        <w:left w:val="none" w:sz="0" w:space="0" w:color="auto"/>
        <w:bottom w:val="none" w:sz="0" w:space="0" w:color="auto"/>
        <w:right w:val="none" w:sz="0" w:space="0" w:color="auto"/>
      </w:divBdr>
      <w:divsChild>
        <w:div w:id="1535073856">
          <w:marLeft w:val="0"/>
          <w:marRight w:val="0"/>
          <w:marTop w:val="0"/>
          <w:marBottom w:val="0"/>
          <w:divBdr>
            <w:top w:val="none" w:sz="0" w:space="0" w:color="auto"/>
            <w:left w:val="none" w:sz="0" w:space="0" w:color="auto"/>
            <w:bottom w:val="none" w:sz="0" w:space="0" w:color="auto"/>
            <w:right w:val="none" w:sz="0" w:space="0" w:color="auto"/>
          </w:divBdr>
        </w:div>
        <w:div w:id="1449665142">
          <w:marLeft w:val="0"/>
          <w:marRight w:val="0"/>
          <w:marTop w:val="0"/>
          <w:marBottom w:val="0"/>
          <w:divBdr>
            <w:top w:val="none" w:sz="0" w:space="0" w:color="auto"/>
            <w:left w:val="none" w:sz="0" w:space="0" w:color="auto"/>
            <w:bottom w:val="none" w:sz="0" w:space="0" w:color="auto"/>
            <w:right w:val="none" w:sz="0" w:space="0" w:color="auto"/>
          </w:divBdr>
        </w:div>
      </w:divsChild>
    </w:div>
    <w:div w:id="963194663">
      <w:bodyDiv w:val="1"/>
      <w:marLeft w:val="0"/>
      <w:marRight w:val="0"/>
      <w:marTop w:val="0"/>
      <w:marBottom w:val="0"/>
      <w:divBdr>
        <w:top w:val="none" w:sz="0" w:space="0" w:color="auto"/>
        <w:left w:val="none" w:sz="0" w:space="0" w:color="auto"/>
        <w:bottom w:val="none" w:sz="0" w:space="0" w:color="auto"/>
        <w:right w:val="none" w:sz="0" w:space="0" w:color="auto"/>
      </w:divBdr>
    </w:div>
    <w:div w:id="1917780950">
      <w:bodyDiv w:val="1"/>
      <w:marLeft w:val="0"/>
      <w:marRight w:val="0"/>
      <w:marTop w:val="0"/>
      <w:marBottom w:val="0"/>
      <w:divBdr>
        <w:top w:val="none" w:sz="0" w:space="0" w:color="auto"/>
        <w:left w:val="none" w:sz="0" w:space="0" w:color="auto"/>
        <w:bottom w:val="none" w:sz="0" w:space="0" w:color="auto"/>
        <w:right w:val="none" w:sz="0" w:space="0" w:color="auto"/>
      </w:divBdr>
      <w:divsChild>
        <w:div w:id="206068165">
          <w:marLeft w:val="0"/>
          <w:marRight w:val="0"/>
          <w:marTop w:val="0"/>
          <w:marBottom w:val="0"/>
          <w:divBdr>
            <w:top w:val="none" w:sz="0" w:space="0" w:color="auto"/>
            <w:left w:val="none" w:sz="0" w:space="0" w:color="auto"/>
            <w:bottom w:val="none" w:sz="0" w:space="0" w:color="auto"/>
            <w:right w:val="none" w:sz="0" w:space="0" w:color="auto"/>
          </w:divBdr>
        </w:div>
        <w:div w:id="264046394">
          <w:marLeft w:val="0"/>
          <w:marRight w:val="0"/>
          <w:marTop w:val="0"/>
          <w:marBottom w:val="0"/>
          <w:divBdr>
            <w:top w:val="none" w:sz="0" w:space="0" w:color="auto"/>
            <w:left w:val="none" w:sz="0" w:space="0" w:color="auto"/>
            <w:bottom w:val="none" w:sz="0" w:space="0" w:color="auto"/>
            <w:right w:val="none" w:sz="0" w:space="0" w:color="auto"/>
          </w:divBdr>
        </w:div>
        <w:div w:id="1396852365">
          <w:marLeft w:val="0"/>
          <w:marRight w:val="0"/>
          <w:marTop w:val="0"/>
          <w:marBottom w:val="0"/>
          <w:divBdr>
            <w:top w:val="none" w:sz="0" w:space="0" w:color="auto"/>
            <w:left w:val="none" w:sz="0" w:space="0" w:color="auto"/>
            <w:bottom w:val="none" w:sz="0" w:space="0" w:color="auto"/>
            <w:right w:val="none" w:sz="0" w:space="0" w:color="auto"/>
          </w:divBdr>
        </w:div>
        <w:div w:id="489756236">
          <w:marLeft w:val="0"/>
          <w:marRight w:val="0"/>
          <w:marTop w:val="0"/>
          <w:marBottom w:val="0"/>
          <w:divBdr>
            <w:top w:val="none" w:sz="0" w:space="0" w:color="auto"/>
            <w:left w:val="none" w:sz="0" w:space="0" w:color="auto"/>
            <w:bottom w:val="none" w:sz="0" w:space="0" w:color="auto"/>
            <w:right w:val="none" w:sz="0" w:space="0" w:color="auto"/>
          </w:divBdr>
        </w:div>
        <w:div w:id="2111583084">
          <w:marLeft w:val="0"/>
          <w:marRight w:val="0"/>
          <w:marTop w:val="0"/>
          <w:marBottom w:val="0"/>
          <w:divBdr>
            <w:top w:val="none" w:sz="0" w:space="0" w:color="auto"/>
            <w:left w:val="none" w:sz="0" w:space="0" w:color="auto"/>
            <w:bottom w:val="none" w:sz="0" w:space="0" w:color="auto"/>
            <w:right w:val="none" w:sz="0" w:space="0" w:color="auto"/>
          </w:divBdr>
        </w:div>
        <w:div w:id="1516577426">
          <w:marLeft w:val="0"/>
          <w:marRight w:val="0"/>
          <w:marTop w:val="0"/>
          <w:marBottom w:val="0"/>
          <w:divBdr>
            <w:top w:val="none" w:sz="0" w:space="0" w:color="auto"/>
            <w:left w:val="none" w:sz="0" w:space="0" w:color="auto"/>
            <w:bottom w:val="none" w:sz="0" w:space="0" w:color="auto"/>
            <w:right w:val="none" w:sz="0" w:space="0" w:color="auto"/>
          </w:divBdr>
        </w:div>
        <w:div w:id="1318806006">
          <w:marLeft w:val="0"/>
          <w:marRight w:val="0"/>
          <w:marTop w:val="0"/>
          <w:marBottom w:val="0"/>
          <w:divBdr>
            <w:top w:val="none" w:sz="0" w:space="0" w:color="auto"/>
            <w:left w:val="none" w:sz="0" w:space="0" w:color="auto"/>
            <w:bottom w:val="none" w:sz="0" w:space="0" w:color="auto"/>
            <w:right w:val="none" w:sz="0" w:space="0" w:color="auto"/>
          </w:divBdr>
        </w:div>
        <w:div w:id="1162158661">
          <w:marLeft w:val="0"/>
          <w:marRight w:val="0"/>
          <w:marTop w:val="0"/>
          <w:marBottom w:val="0"/>
          <w:divBdr>
            <w:top w:val="none" w:sz="0" w:space="0" w:color="auto"/>
            <w:left w:val="none" w:sz="0" w:space="0" w:color="auto"/>
            <w:bottom w:val="none" w:sz="0" w:space="0" w:color="auto"/>
            <w:right w:val="none" w:sz="0" w:space="0" w:color="auto"/>
          </w:divBdr>
        </w:div>
        <w:div w:id="1355692151">
          <w:marLeft w:val="0"/>
          <w:marRight w:val="0"/>
          <w:marTop w:val="0"/>
          <w:marBottom w:val="0"/>
          <w:divBdr>
            <w:top w:val="none" w:sz="0" w:space="0" w:color="auto"/>
            <w:left w:val="none" w:sz="0" w:space="0" w:color="auto"/>
            <w:bottom w:val="none" w:sz="0" w:space="0" w:color="auto"/>
            <w:right w:val="none" w:sz="0" w:space="0" w:color="auto"/>
          </w:divBdr>
        </w:div>
        <w:div w:id="1259560171">
          <w:marLeft w:val="0"/>
          <w:marRight w:val="0"/>
          <w:marTop w:val="0"/>
          <w:marBottom w:val="0"/>
          <w:divBdr>
            <w:top w:val="none" w:sz="0" w:space="0" w:color="auto"/>
            <w:left w:val="none" w:sz="0" w:space="0" w:color="auto"/>
            <w:bottom w:val="none" w:sz="0" w:space="0" w:color="auto"/>
            <w:right w:val="none" w:sz="0" w:space="0" w:color="auto"/>
          </w:divBdr>
        </w:div>
        <w:div w:id="1136144464">
          <w:marLeft w:val="0"/>
          <w:marRight w:val="0"/>
          <w:marTop w:val="0"/>
          <w:marBottom w:val="0"/>
          <w:divBdr>
            <w:top w:val="none" w:sz="0" w:space="0" w:color="auto"/>
            <w:left w:val="none" w:sz="0" w:space="0" w:color="auto"/>
            <w:bottom w:val="none" w:sz="0" w:space="0" w:color="auto"/>
            <w:right w:val="none" w:sz="0" w:space="0" w:color="auto"/>
          </w:divBdr>
        </w:div>
        <w:div w:id="1935934479">
          <w:marLeft w:val="0"/>
          <w:marRight w:val="0"/>
          <w:marTop w:val="0"/>
          <w:marBottom w:val="0"/>
          <w:divBdr>
            <w:top w:val="none" w:sz="0" w:space="0" w:color="auto"/>
            <w:left w:val="none" w:sz="0" w:space="0" w:color="auto"/>
            <w:bottom w:val="none" w:sz="0" w:space="0" w:color="auto"/>
            <w:right w:val="none" w:sz="0" w:space="0" w:color="auto"/>
          </w:divBdr>
        </w:div>
        <w:div w:id="881206588">
          <w:marLeft w:val="0"/>
          <w:marRight w:val="0"/>
          <w:marTop w:val="0"/>
          <w:marBottom w:val="0"/>
          <w:divBdr>
            <w:top w:val="none" w:sz="0" w:space="0" w:color="auto"/>
            <w:left w:val="none" w:sz="0" w:space="0" w:color="auto"/>
            <w:bottom w:val="none" w:sz="0" w:space="0" w:color="auto"/>
            <w:right w:val="none" w:sz="0" w:space="0" w:color="auto"/>
          </w:divBdr>
        </w:div>
        <w:div w:id="290206723">
          <w:marLeft w:val="0"/>
          <w:marRight w:val="0"/>
          <w:marTop w:val="0"/>
          <w:marBottom w:val="0"/>
          <w:divBdr>
            <w:top w:val="none" w:sz="0" w:space="0" w:color="auto"/>
            <w:left w:val="none" w:sz="0" w:space="0" w:color="auto"/>
            <w:bottom w:val="none" w:sz="0" w:space="0" w:color="auto"/>
            <w:right w:val="none" w:sz="0" w:space="0" w:color="auto"/>
          </w:divBdr>
        </w:div>
        <w:div w:id="1923949368">
          <w:marLeft w:val="0"/>
          <w:marRight w:val="0"/>
          <w:marTop w:val="0"/>
          <w:marBottom w:val="0"/>
          <w:divBdr>
            <w:top w:val="none" w:sz="0" w:space="0" w:color="auto"/>
            <w:left w:val="none" w:sz="0" w:space="0" w:color="auto"/>
            <w:bottom w:val="none" w:sz="0" w:space="0" w:color="auto"/>
            <w:right w:val="none" w:sz="0" w:space="0" w:color="auto"/>
          </w:divBdr>
        </w:div>
        <w:div w:id="869147871">
          <w:marLeft w:val="0"/>
          <w:marRight w:val="0"/>
          <w:marTop w:val="0"/>
          <w:marBottom w:val="0"/>
          <w:divBdr>
            <w:top w:val="none" w:sz="0" w:space="0" w:color="auto"/>
            <w:left w:val="none" w:sz="0" w:space="0" w:color="auto"/>
            <w:bottom w:val="none" w:sz="0" w:space="0" w:color="auto"/>
            <w:right w:val="none" w:sz="0" w:space="0" w:color="auto"/>
          </w:divBdr>
        </w:div>
        <w:div w:id="3270943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thomas.schalch@leicester.ac.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e.ac.uk/people/amanda-chaplin" TargetMode="External"/><Relationship Id="rId11" Type="http://schemas.openxmlformats.org/officeDocument/2006/relationships/fontTable" Target="fontTable.xml"/><Relationship Id="rId5" Type="http://schemas.openxmlformats.org/officeDocument/2006/relationships/hyperlink" Target="mailto:ac853@leicester.ac.uk"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667</Words>
  <Characters>3802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White</dc:creator>
  <cp:keywords/>
  <dc:description/>
  <cp:lastModifiedBy>Finch, Lisa A.</cp:lastModifiedBy>
  <cp:revision>3</cp:revision>
  <dcterms:created xsi:type="dcterms:W3CDTF">2024-11-13T12:04:00Z</dcterms:created>
  <dcterms:modified xsi:type="dcterms:W3CDTF">2024-11-13T12:08:00Z</dcterms:modified>
</cp:coreProperties>
</file>