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8FDD6FC" w:rsidR="00066C81" w:rsidRPr="00F30DC7" w:rsidRDefault="00F30DC7" w:rsidP="00066C81">
            <w:r w:rsidRPr="00F30DC7">
              <w:rPr>
                <w:rStyle w:val="normaltextrun"/>
                <w:rFonts w:ascii="Arial" w:hAnsi="Arial" w:cs="Arial"/>
                <w:shd w:val="clear" w:color="auto" w:fill="FFFFFF"/>
              </w:rPr>
              <w:t>Dr Aurelio Bruno (He/him)</w:t>
            </w:r>
            <w:r w:rsidRPr="00F30DC7">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7F808928" w:rsidR="00066C81" w:rsidRPr="00F30DC7" w:rsidRDefault="00F30DC7" w:rsidP="00066C81">
            <w:r w:rsidRPr="00F30DC7">
              <w:rPr>
                <w:rStyle w:val="normaltextrun"/>
                <w:rFonts w:ascii="Arial" w:hAnsi="Arial" w:cs="Arial"/>
                <w:shd w:val="clear" w:color="auto" w:fill="FFFFFF"/>
              </w:rPr>
              <w:t>School of Psychology and Vision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7743E88F" w14:textId="63AD71C4" w:rsidR="003A7DAE" w:rsidRPr="00F30DC7" w:rsidRDefault="00F30DC7" w:rsidP="00066C81">
            <w:pPr>
              <w:rPr>
                <w:rStyle w:val="normaltextrun"/>
                <w:rFonts w:ascii="Arial" w:hAnsi="Arial" w:cs="Arial"/>
                <w:bdr w:val="none" w:sz="0" w:space="0" w:color="auto" w:frame="1"/>
              </w:rPr>
            </w:pPr>
            <w:hyperlink r:id="rId5" w:history="1">
              <w:r w:rsidRPr="00F30DC7">
                <w:rPr>
                  <w:rStyle w:val="Hyperlink"/>
                  <w:rFonts w:ascii="Arial" w:hAnsi="Arial" w:cs="Arial"/>
                  <w:bdr w:val="none" w:sz="0" w:space="0" w:color="auto" w:frame="1"/>
                </w:rPr>
                <w:t>aurelio.bruno@leicester.ac.uk</w:t>
              </w:r>
            </w:hyperlink>
          </w:p>
          <w:p w14:paraId="28BF855B" w14:textId="03F9A7FE" w:rsidR="00F30DC7" w:rsidRPr="00F30DC7" w:rsidRDefault="00F30DC7" w:rsidP="00066C81">
            <w:hyperlink r:id="rId6" w:history="1">
              <w:r w:rsidRPr="00F30DC7">
                <w:rPr>
                  <w:rStyle w:val="Hyperlink"/>
                  <w:rFonts w:ascii="Arial" w:hAnsi="Arial" w:cs="Arial"/>
                  <w:bdr w:val="none" w:sz="0" w:space="0" w:color="auto" w:frame="1"/>
                </w:rPr>
                <w:t>https://le.ac.uk/people/aurelio-bruno</w:t>
              </w:r>
            </w:hyperlink>
            <w:r w:rsidRPr="00F30DC7">
              <w:rPr>
                <w:rStyle w:val="normaltextrun"/>
                <w:rFonts w:ascii="Arial" w:hAnsi="Arial" w:cs="Arial"/>
                <w:bdr w:val="none" w:sz="0" w:space="0" w:color="auto" w:frame="1"/>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0C739CF6" w:rsidR="00066C81" w:rsidRPr="00F30DC7" w:rsidRDefault="00F30DC7" w:rsidP="00ED69E6">
            <w:r w:rsidRPr="00F30DC7">
              <w:rPr>
                <w:rStyle w:val="normaltextrun"/>
                <w:rFonts w:ascii="Arial" w:hAnsi="Arial" w:cs="Arial"/>
                <w:shd w:val="clear" w:color="auto" w:fill="FFFFFF"/>
              </w:rPr>
              <w:t xml:space="preserve">Dr Ascension </w:t>
            </w:r>
            <w:proofErr w:type="spellStart"/>
            <w:r w:rsidRPr="00F30DC7">
              <w:rPr>
                <w:rStyle w:val="normaltextrun"/>
                <w:rFonts w:ascii="Arial" w:hAnsi="Arial" w:cs="Arial"/>
                <w:shd w:val="clear" w:color="auto" w:fill="FFFFFF"/>
              </w:rPr>
              <w:t>Pagán</w:t>
            </w:r>
            <w:proofErr w:type="spellEnd"/>
            <w:r w:rsidRPr="00F30DC7">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762CEF96" w:rsidR="00066C81" w:rsidRPr="00F30DC7" w:rsidRDefault="00F30DC7" w:rsidP="00ED69E6">
            <w:r w:rsidRPr="00F30DC7">
              <w:rPr>
                <w:rStyle w:val="normaltextrun"/>
                <w:rFonts w:ascii="Arial" w:hAnsi="Arial" w:cs="Arial"/>
                <w:bdr w:val="none" w:sz="0" w:space="0" w:color="auto" w:frame="1"/>
              </w:rPr>
              <w:t>School of Psychology and Vision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1E96AA0B" w:rsidR="003A7DAE" w:rsidRPr="00F30DC7" w:rsidRDefault="00F30DC7" w:rsidP="00ED69E6">
            <w:r w:rsidRPr="00F30DC7">
              <w:rPr>
                <w:rStyle w:val="normaltextrun"/>
                <w:rFonts w:ascii="Arial" w:hAnsi="Arial" w:cs="Arial"/>
                <w:bdr w:val="none" w:sz="0" w:space="0" w:color="auto" w:frame="1"/>
              </w:rPr>
              <w:t>appc1@leicester.ac.uk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2AC6C1D9" w:rsidR="00066C81" w:rsidRPr="00F30DC7" w:rsidRDefault="00F30DC7" w:rsidP="00ED69E6">
            <w:r w:rsidRPr="00F30DC7">
              <w:rPr>
                <w:rStyle w:val="normaltextrun"/>
                <w:rFonts w:ascii="Arial" w:hAnsi="Arial" w:cs="Arial"/>
                <w:bdr w:val="none" w:sz="0" w:space="0" w:color="auto" w:frame="1"/>
              </w:rPr>
              <w:t>Visual Adaptation: a key to understanding the sensory mechanisms of reading ability</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1EEE3F44" w14:textId="77777777" w:rsidR="00F30DC7" w:rsidRDefault="00F30DC7" w:rsidP="00F30DC7">
            <w:pPr>
              <w:pStyle w:val="paragraph"/>
              <w:spacing w:before="0" w:beforeAutospacing="0" w:after="0" w:afterAutospacing="0"/>
              <w:textAlignment w:val="baseline"/>
              <w:rPr>
                <w:rFonts w:ascii="Arial" w:hAnsi="Arial" w:cs="Arial"/>
              </w:rPr>
            </w:pPr>
            <w:r>
              <w:rPr>
                <w:rStyle w:val="normaltextrun"/>
                <w:rFonts w:ascii="Arial" w:hAnsi="Arial" w:cs="Arial"/>
              </w:rPr>
              <w:t xml:space="preserve">Our visual system continuously adjusts to changes in the external world, allowing for optimal perception in widely varying contexts. Visual adaptation occurs when exposure to a particular visual stimulus alters how we perceive subsequent stimuli. This phenomenon helps the brain efficiently process visual information by reducing sensitivity to constant, unchanging stimuli and enhancing sensitivity to new or different ones. Visual adaptation has been called “the psychologist’s microelectrode”, as it allows us to link </w:t>
            </w:r>
            <w:proofErr w:type="spellStart"/>
            <w:r>
              <w:rPr>
                <w:rStyle w:val="normaltextrun"/>
                <w:rFonts w:ascii="Arial" w:hAnsi="Arial" w:cs="Arial"/>
              </w:rPr>
              <w:t>behavior</w:t>
            </w:r>
            <w:proofErr w:type="spellEnd"/>
            <w:r>
              <w:rPr>
                <w:rStyle w:val="normaltextrun"/>
                <w:rFonts w:ascii="Arial" w:hAnsi="Arial" w:cs="Arial"/>
              </w:rPr>
              <w:t xml:space="preserve"> to the response dynamics of specific neuronal populations. In this project, we aim to use adaptation to fast visual flicker to investigate vision-specific components of reading abilities. This type of stimulation allows the brain to regulate sensitivity to rapidly alternating stimuli, maintaining perceptual stability in dynamic environments. Adaptation to fast flicker could be critical in tasks that require rapid visual decoding, such as reading, where visual information is presented in a quick and continuous manner. Reading is a complex cognitive function requiring the coordination of various neural processes, including visual perception, eye movement control, and language comprehension. </w:t>
            </w:r>
            <w:r>
              <w:rPr>
                <w:rStyle w:val="eop"/>
                <w:rFonts w:ascii="Arial" w:hAnsi="Arial" w:cs="Arial"/>
              </w:rPr>
              <w:t> </w:t>
            </w:r>
          </w:p>
          <w:p w14:paraId="34FDD512" w14:textId="77777777" w:rsidR="00F30DC7" w:rsidRDefault="00F30DC7" w:rsidP="00F30DC7">
            <w:pPr>
              <w:pStyle w:val="paragraph"/>
              <w:spacing w:before="0" w:beforeAutospacing="0" w:after="0" w:afterAutospacing="0"/>
              <w:textAlignment w:val="baseline"/>
              <w:rPr>
                <w:rFonts w:ascii="Arial" w:hAnsi="Arial" w:cs="Arial"/>
              </w:rPr>
            </w:pPr>
            <w:r>
              <w:rPr>
                <w:rStyle w:val="eop"/>
                <w:rFonts w:ascii="Arial" w:hAnsi="Arial" w:cs="Arial"/>
              </w:rPr>
              <w:t> </w:t>
            </w:r>
          </w:p>
          <w:p w14:paraId="08E3F46D" w14:textId="77777777" w:rsidR="00F30DC7" w:rsidRDefault="00F30DC7" w:rsidP="00F30DC7">
            <w:pPr>
              <w:pStyle w:val="paragraph"/>
              <w:spacing w:before="0" w:beforeAutospacing="0" w:after="0" w:afterAutospacing="0"/>
              <w:textAlignment w:val="baseline"/>
              <w:rPr>
                <w:rFonts w:ascii="Arial" w:hAnsi="Arial" w:cs="Arial"/>
              </w:rPr>
            </w:pPr>
            <w:r>
              <w:rPr>
                <w:rStyle w:val="normaltextrun"/>
                <w:rFonts w:ascii="Arial" w:hAnsi="Arial" w:cs="Arial"/>
              </w:rPr>
              <w:t xml:space="preserve">Emerging evidence suggests that efficient sensory processing may be fundamental for reading fluency, while deficits in temporal visual processing have been associated with reading difficulties, such as dyslexia. It was found that adaptation to fast visual flicker can enhance acuity in fine visual recognition tasks, including word recognition, in individuals with typical reading abilities (Arnold et al., 2016), arguably by weakening the influence of the magnocellular system on form perception. The magnocellular system is an anatomical visual pathway linked to specialized functions such as </w:t>
            </w:r>
            <w:r>
              <w:rPr>
                <w:rStyle w:val="normaltextrun"/>
                <w:rFonts w:ascii="Arial" w:hAnsi="Arial" w:cs="Arial"/>
                <w:color w:val="000000"/>
              </w:rPr>
              <w:t>processing rapidly changing visual stimuli (like motion or flicker)</w:t>
            </w:r>
            <w:r>
              <w:rPr>
                <w:rStyle w:val="normaltextrun"/>
                <w:rFonts w:ascii="Arial" w:hAnsi="Arial" w:cs="Arial"/>
              </w:rPr>
              <w:t>. It has also been associated with text perception and reading (Chase et al., 2003). However, the relationship between visual adaptation to temporally modulated stimuli and reading proficiency remains underexplored.</w:t>
            </w:r>
            <w:r>
              <w:rPr>
                <w:rStyle w:val="eop"/>
                <w:rFonts w:ascii="Arial" w:hAnsi="Arial" w:cs="Arial"/>
              </w:rPr>
              <w:t> </w:t>
            </w:r>
          </w:p>
          <w:p w14:paraId="2C24A7C1" w14:textId="77777777" w:rsidR="00F30DC7" w:rsidRDefault="00F30DC7" w:rsidP="00F30DC7">
            <w:pPr>
              <w:pStyle w:val="paragraph"/>
              <w:spacing w:before="0" w:beforeAutospacing="0" w:after="0" w:afterAutospacing="0"/>
              <w:textAlignment w:val="baseline"/>
              <w:rPr>
                <w:rFonts w:ascii="Arial" w:hAnsi="Arial" w:cs="Arial"/>
              </w:rPr>
            </w:pPr>
            <w:r>
              <w:rPr>
                <w:rStyle w:val="eop"/>
                <w:rFonts w:ascii="Arial" w:hAnsi="Arial" w:cs="Arial"/>
              </w:rPr>
              <w:t> </w:t>
            </w:r>
          </w:p>
          <w:p w14:paraId="15446CC2" w14:textId="77777777" w:rsidR="00F30DC7" w:rsidRDefault="00F30DC7" w:rsidP="00F30DC7">
            <w:pPr>
              <w:pStyle w:val="paragraph"/>
              <w:spacing w:before="0" w:beforeAutospacing="0" w:after="0" w:afterAutospacing="0"/>
              <w:textAlignment w:val="baseline"/>
              <w:rPr>
                <w:rFonts w:ascii="Arial" w:hAnsi="Arial" w:cs="Arial"/>
              </w:rPr>
            </w:pPr>
            <w:r>
              <w:rPr>
                <w:rStyle w:val="normaltextrun"/>
                <w:rFonts w:ascii="Arial" w:hAnsi="Arial" w:cs="Arial"/>
                <w:lang w:val="en-US"/>
              </w:rPr>
              <w:t xml:space="preserve">This project aims to use a combination of psychophysical, electrophysiological (EEG) and eye-tracking paradigms, as well as computational modelling, to probe whether and how visual flicker stimulation can modulate reading performance. </w:t>
            </w:r>
            <w:r>
              <w:rPr>
                <w:rStyle w:val="normaltextrun"/>
                <w:rFonts w:ascii="Arial" w:hAnsi="Arial" w:cs="Arial"/>
                <w:color w:val="000000"/>
                <w:lang w:val="en-US"/>
              </w:rPr>
              <w:t>While the final set of research goals will be shaped by the interests of the PhD student, they will fall into three broad categories:</w:t>
            </w:r>
            <w:r>
              <w:rPr>
                <w:rStyle w:val="eop"/>
                <w:rFonts w:ascii="Arial" w:hAnsi="Arial" w:cs="Arial"/>
                <w:color w:val="000000"/>
              </w:rPr>
              <w:t> </w:t>
            </w:r>
          </w:p>
          <w:p w14:paraId="7D0D198D" w14:textId="77777777" w:rsidR="00F30DC7" w:rsidRDefault="00F30DC7" w:rsidP="00F30DC7">
            <w:pPr>
              <w:pStyle w:val="paragraph"/>
              <w:spacing w:before="0" w:beforeAutospacing="0" w:after="0" w:afterAutospacing="0"/>
              <w:textAlignment w:val="baseline"/>
              <w:rPr>
                <w:rFonts w:ascii="Arial" w:hAnsi="Arial" w:cs="Arial"/>
              </w:rPr>
            </w:pPr>
            <w:r>
              <w:rPr>
                <w:rStyle w:val="eop"/>
                <w:rFonts w:ascii="Arial" w:hAnsi="Arial" w:cs="Arial"/>
                <w:color w:val="000000"/>
              </w:rPr>
              <w:t> </w:t>
            </w:r>
          </w:p>
          <w:p w14:paraId="7A9A3692" w14:textId="77777777" w:rsidR="00F30DC7" w:rsidRDefault="00F30DC7" w:rsidP="00F30DC7">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lang w:val="en-US"/>
              </w:rPr>
              <w:lastRenderedPageBreak/>
              <w:t>To examine the relationship between visual adaptation to fast flicker and reading speed, accuracy, and comprehension.</w:t>
            </w:r>
            <w:r>
              <w:rPr>
                <w:rStyle w:val="tabchar"/>
                <w:rFonts w:ascii="Calibri" w:hAnsi="Calibri" w:cs="Calibri"/>
              </w:rPr>
              <w:t xml:space="preserve"> </w:t>
            </w:r>
            <w:r>
              <w:rPr>
                <w:rStyle w:val="normaltextrun"/>
                <w:rFonts w:ascii="Arial" w:hAnsi="Arial" w:cs="Arial"/>
                <w:i/>
                <w:iCs/>
                <w:lang w:val="en-US"/>
              </w:rPr>
              <w:t xml:space="preserve">    </w:t>
            </w:r>
            <w:r>
              <w:rPr>
                <w:rStyle w:val="eop"/>
                <w:rFonts w:ascii="Arial" w:hAnsi="Arial" w:cs="Arial"/>
              </w:rPr>
              <w:t> </w:t>
            </w:r>
          </w:p>
          <w:p w14:paraId="092C8517" w14:textId="77777777" w:rsidR="00F30DC7" w:rsidRDefault="00F30DC7" w:rsidP="00F30DC7">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hAnsi="Arial" w:cs="Arial"/>
                <w:lang w:val="en-US"/>
              </w:rPr>
              <w:t>To investigate whether individual differences in visual adaptation to fast visual flicker are linked to reading abilities, with the goal of identifying neurophysiological markers for reading proficiency.</w:t>
            </w:r>
            <w:r>
              <w:rPr>
                <w:rStyle w:val="eop"/>
                <w:rFonts w:ascii="Arial" w:hAnsi="Arial" w:cs="Arial"/>
              </w:rPr>
              <w:t> </w:t>
            </w:r>
          </w:p>
          <w:p w14:paraId="0BFA7530" w14:textId="77777777" w:rsidR="00F30DC7" w:rsidRDefault="00F30DC7" w:rsidP="00F30DC7">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226E5DE6" w14:textId="77777777" w:rsidR="00F30DC7" w:rsidRDefault="00F30DC7" w:rsidP="00F30DC7">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rPr>
              <w:t>To explore whether visual adaptation efficiency can serve as a biological predictor of reading performance and a potential target for sensory-based interventions.</w:t>
            </w:r>
            <w:r>
              <w:rPr>
                <w:rStyle w:val="eop"/>
                <w:rFonts w:ascii="Arial" w:hAnsi="Arial" w:cs="Arial"/>
              </w:rPr>
              <w:t> </w:t>
            </w:r>
          </w:p>
          <w:p w14:paraId="328179BD" w14:textId="77777777" w:rsidR="00066C81" w:rsidRDefault="00066C81" w:rsidP="00ED69E6">
            <w:pPr>
              <w:rPr>
                <w:b/>
              </w:rPr>
            </w:pPr>
          </w:p>
          <w:p w14:paraId="2C281E47" w14:textId="47EED792" w:rsidR="00066C81" w:rsidRDefault="00F30DC7"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54A3A7E4" w14:textId="77777777" w:rsidR="00F30DC7" w:rsidRDefault="00F30DC7" w:rsidP="00F30DC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rPr>
              <w:t>Advanced psychophysical techniques</w:t>
            </w:r>
            <w:r>
              <w:rPr>
                <w:rStyle w:val="eop"/>
                <w:rFonts w:ascii="Arial" w:hAnsi="Arial" w:cs="Arial"/>
              </w:rPr>
              <w:t> </w:t>
            </w:r>
          </w:p>
          <w:p w14:paraId="256CB0B8" w14:textId="77777777" w:rsidR="00F30DC7" w:rsidRDefault="00F30DC7" w:rsidP="00F30DC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rPr>
              <w:t>High precision eye tracking</w:t>
            </w:r>
            <w:r>
              <w:rPr>
                <w:rStyle w:val="eop"/>
                <w:rFonts w:ascii="Arial" w:hAnsi="Arial" w:cs="Arial"/>
              </w:rPr>
              <w:t> </w:t>
            </w:r>
          </w:p>
          <w:p w14:paraId="55C459FC" w14:textId="77777777" w:rsidR="00F30DC7" w:rsidRDefault="00F30DC7" w:rsidP="00F30DC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rPr>
              <w:t>Electroencephalography (EEG)</w:t>
            </w:r>
            <w:r>
              <w:rPr>
                <w:rStyle w:val="eop"/>
                <w:rFonts w:ascii="Arial" w:hAnsi="Arial" w:cs="Arial"/>
              </w:rPr>
              <w:t> </w:t>
            </w:r>
          </w:p>
          <w:p w14:paraId="68BCFBE6" w14:textId="77777777" w:rsidR="00F30DC7" w:rsidRDefault="00F30DC7" w:rsidP="00F30D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Psychophysiology</w:t>
            </w:r>
            <w:r>
              <w:rPr>
                <w:rStyle w:val="eop"/>
                <w:rFonts w:ascii="Arial" w:hAnsi="Arial" w:cs="Arial"/>
              </w:rPr>
              <w:t> </w:t>
            </w:r>
          </w:p>
          <w:p w14:paraId="3518A137" w14:textId="77777777" w:rsidR="00F30DC7" w:rsidRDefault="00F30DC7" w:rsidP="00F30D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Computational modelling</w:t>
            </w:r>
            <w:r>
              <w:rPr>
                <w:rStyle w:val="eop"/>
                <w:rFonts w:ascii="Arial" w:hAnsi="Arial" w:cs="Arial"/>
              </w:rPr>
              <w:t> </w:t>
            </w:r>
          </w:p>
          <w:p w14:paraId="0CED7BB9" w14:textId="77777777" w:rsidR="00F30DC7" w:rsidRDefault="00F30DC7" w:rsidP="00F30D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Machine Learning (Decoding)</w:t>
            </w:r>
            <w:r>
              <w:rPr>
                <w:rStyle w:val="eop"/>
                <w:rFonts w:ascii="Arial" w:hAnsi="Arial" w:cs="Arial"/>
              </w:rPr>
              <w:t> </w:t>
            </w:r>
          </w:p>
          <w:p w14:paraId="0DB0194A" w14:textId="77777777" w:rsidR="00F30DC7" w:rsidRDefault="00F30DC7" w:rsidP="00F30DC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rPr>
              <w:t>Linear mixed effects modelling, Bayesian analyses in the R programming environment (stats)</w:t>
            </w:r>
            <w:r>
              <w:rPr>
                <w:rStyle w:val="eop"/>
                <w:rFonts w:ascii="Arial" w:hAnsi="Arial" w:cs="Arial"/>
              </w:rPr>
              <w:t> </w:t>
            </w:r>
          </w:p>
          <w:p w14:paraId="258DFB55" w14:textId="6C71FF76" w:rsidR="00066C81" w:rsidRPr="00F30DC7" w:rsidRDefault="00F30DC7" w:rsidP="00F30DC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rPr>
              <w:t xml:space="preserve">Programming in </w:t>
            </w:r>
            <w:proofErr w:type="spellStart"/>
            <w:r>
              <w:rPr>
                <w:rStyle w:val="normaltextrun"/>
                <w:rFonts w:ascii="Arial" w:hAnsi="Arial" w:cs="Arial"/>
              </w:rPr>
              <w:t>Matlab</w:t>
            </w:r>
            <w:proofErr w:type="spellEnd"/>
            <w:r>
              <w:rPr>
                <w:rStyle w:val="normaltextrun"/>
                <w:rFonts w:ascii="Arial" w:hAnsi="Arial" w:cs="Arial"/>
              </w:rPr>
              <w:t>/Python</w:t>
            </w:r>
            <w:r>
              <w:rPr>
                <w:rStyle w:val="eop"/>
                <w:rFonts w:ascii="Arial" w:hAnsi="Arial" w:cs="Arial"/>
              </w:rPr>
              <w:t> </w:t>
            </w: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2B597D9C" w14:textId="77777777" w:rsidR="00F30DC7" w:rsidRDefault="00F30DC7" w:rsidP="00F30D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Arnold, D. H., Williams, J. D., Phipps, N. E., &amp; Goodale, M. A. (2016).  Sharpening vision by adapting to flicker. Proc Natl </w:t>
            </w:r>
            <w:proofErr w:type="spellStart"/>
            <w:r>
              <w:rPr>
                <w:rStyle w:val="normaltextrun"/>
                <w:rFonts w:ascii="Arial" w:hAnsi="Arial" w:cs="Arial"/>
              </w:rPr>
              <w:t>Acad</w:t>
            </w:r>
            <w:proofErr w:type="spellEnd"/>
            <w:r>
              <w:rPr>
                <w:rStyle w:val="normaltextrun"/>
                <w:rFonts w:ascii="Arial" w:hAnsi="Arial" w:cs="Arial"/>
              </w:rPr>
              <w:t xml:space="preserve"> Sci U S A, 113(44), 12556-12561. doi:10.1073/pnas.1609330113</w:t>
            </w:r>
            <w:r>
              <w:rPr>
                <w:rStyle w:val="tabchar"/>
                <w:rFonts w:ascii="Calibri" w:hAnsi="Calibri" w:cs="Calibri"/>
              </w:rPr>
              <w:t xml:space="preserve"> </w:t>
            </w:r>
            <w:r>
              <w:rPr>
                <w:rStyle w:val="eop"/>
                <w:rFonts w:ascii="Arial" w:hAnsi="Arial" w:cs="Arial"/>
              </w:rPr>
              <w:t> </w:t>
            </w:r>
          </w:p>
          <w:p w14:paraId="23348132" w14:textId="77777777" w:rsidR="00F30DC7" w:rsidRDefault="00F30DC7" w:rsidP="00F30D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Chase, C., </w:t>
            </w:r>
            <w:proofErr w:type="spellStart"/>
            <w:r>
              <w:rPr>
                <w:rStyle w:val="normaltextrun"/>
                <w:rFonts w:ascii="Arial" w:hAnsi="Arial" w:cs="Arial"/>
              </w:rPr>
              <w:t>Ashourzadeh</w:t>
            </w:r>
            <w:proofErr w:type="spellEnd"/>
            <w:r>
              <w:rPr>
                <w:rStyle w:val="normaltextrun"/>
                <w:rFonts w:ascii="Arial" w:hAnsi="Arial" w:cs="Arial"/>
              </w:rPr>
              <w:t xml:space="preserve">, A., Kelly, C., </w:t>
            </w:r>
            <w:proofErr w:type="spellStart"/>
            <w:r>
              <w:rPr>
                <w:rStyle w:val="normaltextrun"/>
                <w:rFonts w:ascii="Arial" w:hAnsi="Arial" w:cs="Arial"/>
              </w:rPr>
              <w:t>Monfette</w:t>
            </w:r>
            <w:proofErr w:type="spellEnd"/>
            <w:r>
              <w:rPr>
                <w:rStyle w:val="normaltextrun"/>
                <w:rFonts w:ascii="Arial" w:hAnsi="Arial" w:cs="Arial"/>
              </w:rPr>
              <w:t xml:space="preserve">, S., &amp; Kinsey, K. (2003). Can the magnocellular pathway read? Evidence from studies of </w:t>
            </w:r>
            <w:proofErr w:type="spellStart"/>
            <w:r>
              <w:rPr>
                <w:rStyle w:val="normaltextrun"/>
                <w:rFonts w:ascii="Arial" w:hAnsi="Arial" w:cs="Arial"/>
              </w:rPr>
              <w:t>color</w:t>
            </w:r>
            <w:proofErr w:type="spellEnd"/>
            <w:r>
              <w:rPr>
                <w:rStyle w:val="normaltextrun"/>
                <w:rFonts w:ascii="Arial" w:hAnsi="Arial" w:cs="Arial"/>
              </w:rPr>
              <w:t xml:space="preserve">. </w:t>
            </w:r>
            <w:r>
              <w:rPr>
                <w:rStyle w:val="normaltextrun"/>
                <w:rFonts w:ascii="Arial" w:hAnsi="Arial" w:cs="Arial"/>
                <w:i/>
                <w:iCs/>
              </w:rPr>
              <w:t>Vision Res, 43</w:t>
            </w:r>
            <w:r>
              <w:rPr>
                <w:rStyle w:val="normaltextrun"/>
                <w:rFonts w:ascii="Arial" w:hAnsi="Arial" w:cs="Arial"/>
              </w:rPr>
              <w:t>(10), 1211-1222. doi:10.1016/s0042-6989(03)00085-3.</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04B"/>
    <w:multiLevelType w:val="multilevel"/>
    <w:tmpl w:val="E8849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69634F"/>
    <w:multiLevelType w:val="multilevel"/>
    <w:tmpl w:val="4802E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A04C75"/>
    <w:multiLevelType w:val="multilevel"/>
    <w:tmpl w:val="BD60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7C66BB"/>
    <w:rsid w:val="009C47A8"/>
    <w:rsid w:val="00AE49DF"/>
    <w:rsid w:val="00BB70D0"/>
    <w:rsid w:val="00BD5F21"/>
    <w:rsid w:val="00DE6413"/>
    <w:rsid w:val="00EF0A9E"/>
    <w:rsid w:val="00F30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character" w:customStyle="1" w:styleId="tabchar">
    <w:name w:val="tabchar"/>
    <w:basedOn w:val="DefaultParagraphFont"/>
    <w:rsid w:val="00F3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1337883137">
      <w:bodyDiv w:val="1"/>
      <w:marLeft w:val="0"/>
      <w:marRight w:val="0"/>
      <w:marTop w:val="0"/>
      <w:marBottom w:val="0"/>
      <w:divBdr>
        <w:top w:val="none" w:sz="0" w:space="0" w:color="auto"/>
        <w:left w:val="none" w:sz="0" w:space="0" w:color="auto"/>
        <w:bottom w:val="none" w:sz="0" w:space="0" w:color="auto"/>
        <w:right w:val="none" w:sz="0" w:space="0" w:color="auto"/>
      </w:divBdr>
      <w:divsChild>
        <w:div w:id="1194853609">
          <w:marLeft w:val="0"/>
          <w:marRight w:val="0"/>
          <w:marTop w:val="0"/>
          <w:marBottom w:val="0"/>
          <w:divBdr>
            <w:top w:val="none" w:sz="0" w:space="0" w:color="auto"/>
            <w:left w:val="none" w:sz="0" w:space="0" w:color="auto"/>
            <w:bottom w:val="none" w:sz="0" w:space="0" w:color="auto"/>
            <w:right w:val="none" w:sz="0" w:space="0" w:color="auto"/>
          </w:divBdr>
        </w:div>
        <w:div w:id="1504662906">
          <w:marLeft w:val="0"/>
          <w:marRight w:val="0"/>
          <w:marTop w:val="0"/>
          <w:marBottom w:val="0"/>
          <w:divBdr>
            <w:top w:val="none" w:sz="0" w:space="0" w:color="auto"/>
            <w:left w:val="none" w:sz="0" w:space="0" w:color="auto"/>
            <w:bottom w:val="none" w:sz="0" w:space="0" w:color="auto"/>
            <w:right w:val="none" w:sz="0" w:space="0" w:color="auto"/>
          </w:divBdr>
        </w:div>
      </w:divsChild>
    </w:div>
    <w:div w:id="2012946646">
      <w:bodyDiv w:val="1"/>
      <w:marLeft w:val="0"/>
      <w:marRight w:val="0"/>
      <w:marTop w:val="0"/>
      <w:marBottom w:val="0"/>
      <w:divBdr>
        <w:top w:val="none" w:sz="0" w:space="0" w:color="auto"/>
        <w:left w:val="none" w:sz="0" w:space="0" w:color="auto"/>
        <w:bottom w:val="none" w:sz="0" w:space="0" w:color="auto"/>
        <w:right w:val="none" w:sz="0" w:space="0" w:color="auto"/>
      </w:divBdr>
    </w:div>
    <w:div w:id="2078434591">
      <w:bodyDiv w:val="1"/>
      <w:marLeft w:val="0"/>
      <w:marRight w:val="0"/>
      <w:marTop w:val="0"/>
      <w:marBottom w:val="0"/>
      <w:divBdr>
        <w:top w:val="none" w:sz="0" w:space="0" w:color="auto"/>
        <w:left w:val="none" w:sz="0" w:space="0" w:color="auto"/>
        <w:bottom w:val="none" w:sz="0" w:space="0" w:color="auto"/>
        <w:right w:val="none" w:sz="0" w:space="0" w:color="auto"/>
      </w:divBdr>
      <w:divsChild>
        <w:div w:id="2027441413">
          <w:marLeft w:val="0"/>
          <w:marRight w:val="0"/>
          <w:marTop w:val="0"/>
          <w:marBottom w:val="0"/>
          <w:divBdr>
            <w:top w:val="none" w:sz="0" w:space="0" w:color="auto"/>
            <w:left w:val="none" w:sz="0" w:space="0" w:color="auto"/>
            <w:bottom w:val="none" w:sz="0" w:space="0" w:color="auto"/>
            <w:right w:val="none" w:sz="0" w:space="0" w:color="auto"/>
          </w:divBdr>
        </w:div>
        <w:div w:id="1430389781">
          <w:marLeft w:val="0"/>
          <w:marRight w:val="0"/>
          <w:marTop w:val="0"/>
          <w:marBottom w:val="0"/>
          <w:divBdr>
            <w:top w:val="none" w:sz="0" w:space="0" w:color="auto"/>
            <w:left w:val="none" w:sz="0" w:space="0" w:color="auto"/>
            <w:bottom w:val="none" w:sz="0" w:space="0" w:color="auto"/>
            <w:right w:val="none" w:sz="0" w:space="0" w:color="auto"/>
          </w:divBdr>
        </w:div>
        <w:div w:id="746344289">
          <w:marLeft w:val="0"/>
          <w:marRight w:val="0"/>
          <w:marTop w:val="0"/>
          <w:marBottom w:val="0"/>
          <w:divBdr>
            <w:top w:val="none" w:sz="0" w:space="0" w:color="auto"/>
            <w:left w:val="none" w:sz="0" w:space="0" w:color="auto"/>
            <w:bottom w:val="none" w:sz="0" w:space="0" w:color="auto"/>
            <w:right w:val="none" w:sz="0" w:space="0" w:color="auto"/>
          </w:divBdr>
        </w:div>
        <w:div w:id="1569799193">
          <w:marLeft w:val="0"/>
          <w:marRight w:val="0"/>
          <w:marTop w:val="0"/>
          <w:marBottom w:val="0"/>
          <w:divBdr>
            <w:top w:val="none" w:sz="0" w:space="0" w:color="auto"/>
            <w:left w:val="none" w:sz="0" w:space="0" w:color="auto"/>
            <w:bottom w:val="none" w:sz="0" w:space="0" w:color="auto"/>
            <w:right w:val="none" w:sz="0" w:space="0" w:color="auto"/>
          </w:divBdr>
        </w:div>
        <w:div w:id="875890474">
          <w:marLeft w:val="0"/>
          <w:marRight w:val="0"/>
          <w:marTop w:val="0"/>
          <w:marBottom w:val="0"/>
          <w:divBdr>
            <w:top w:val="none" w:sz="0" w:space="0" w:color="auto"/>
            <w:left w:val="none" w:sz="0" w:space="0" w:color="auto"/>
            <w:bottom w:val="none" w:sz="0" w:space="0" w:color="auto"/>
            <w:right w:val="none" w:sz="0" w:space="0" w:color="auto"/>
          </w:divBdr>
        </w:div>
        <w:div w:id="1465467229">
          <w:marLeft w:val="0"/>
          <w:marRight w:val="0"/>
          <w:marTop w:val="0"/>
          <w:marBottom w:val="0"/>
          <w:divBdr>
            <w:top w:val="none" w:sz="0" w:space="0" w:color="auto"/>
            <w:left w:val="none" w:sz="0" w:space="0" w:color="auto"/>
            <w:bottom w:val="none" w:sz="0" w:space="0" w:color="auto"/>
            <w:right w:val="none" w:sz="0" w:space="0" w:color="auto"/>
          </w:divBdr>
        </w:div>
        <w:div w:id="954097629">
          <w:marLeft w:val="0"/>
          <w:marRight w:val="0"/>
          <w:marTop w:val="0"/>
          <w:marBottom w:val="0"/>
          <w:divBdr>
            <w:top w:val="none" w:sz="0" w:space="0" w:color="auto"/>
            <w:left w:val="none" w:sz="0" w:space="0" w:color="auto"/>
            <w:bottom w:val="none" w:sz="0" w:space="0" w:color="auto"/>
            <w:right w:val="none" w:sz="0" w:space="0" w:color="auto"/>
          </w:divBdr>
        </w:div>
        <w:div w:id="131232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aurelio-bruno" TargetMode="External"/><Relationship Id="rId5" Type="http://schemas.openxmlformats.org/officeDocument/2006/relationships/hyperlink" Target="mailto:aurelio.bruno@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2024-11-13T12:00:00Z</dcterms:created>
  <dcterms:modified xsi:type="dcterms:W3CDTF">2024-11-13T12:03:00Z</dcterms:modified>
</cp:coreProperties>
</file>