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4B2" w14:textId="064BF841" w:rsidR="00AE49DF" w:rsidRPr="001256C5" w:rsidRDefault="00AE49DF" w:rsidP="00066C81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14:paraId="44BD011A" w14:textId="47218A12" w:rsidR="008E267D" w:rsidRDefault="008E267D" w:rsidP="00850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 w:rsidRPr="001256C5">
        <w:rPr>
          <w:rFonts w:asciiTheme="minorHAnsi" w:hAnsiTheme="minorHAnsi" w:cstheme="minorHAnsi"/>
          <w:b/>
          <w:bCs/>
          <w:color w:val="0070C0"/>
        </w:rPr>
        <w:t>LEICESTER LIFESTYLE AND HEALTH RESEARCH GROUP</w:t>
      </w:r>
    </w:p>
    <w:p w14:paraId="6CBABEC9" w14:textId="77777777" w:rsidR="00EE5AA9" w:rsidRPr="001256C5" w:rsidRDefault="00EE5AA9" w:rsidP="00850B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0070C0"/>
        </w:rPr>
      </w:pPr>
    </w:p>
    <w:p w14:paraId="0111EFB0" w14:textId="3D8961BC" w:rsidR="00771BF5" w:rsidRPr="001256C5" w:rsidRDefault="00A83104" w:rsidP="00066C81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256C5">
        <w:rPr>
          <w:rFonts w:asciiTheme="minorHAnsi" w:hAnsiTheme="minorHAnsi" w:cstheme="minorHAnsi"/>
          <w:b/>
          <w:bCs/>
        </w:rPr>
        <w:t>Physical activity, circadian rhythms and health outcomes: Optimising the response using a personalised approach</w:t>
      </w:r>
    </w:p>
    <w:p w14:paraId="5A77308D" w14:textId="77777777" w:rsidR="00A83104" w:rsidRPr="001256C5" w:rsidRDefault="00A83104" w:rsidP="00066C81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14:paraId="482D9E85" w14:textId="77777777" w:rsidR="00AE49DF" w:rsidRPr="001256C5" w:rsidRDefault="00AE49DF" w:rsidP="00066C81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14:paraId="1F075E5A" w14:textId="77777777" w:rsidR="00066C81" w:rsidRPr="001256C5" w:rsidRDefault="00066C81" w:rsidP="00066C81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1256C5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1256C5" w:rsidRDefault="00066C81" w:rsidP="00066C81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0D004197" w:rsidR="00066C81" w:rsidRPr="001256C5" w:rsidRDefault="00A83104" w:rsidP="00066C81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eastAsia="Times New Roman" w:hAnsiTheme="minorHAnsi" w:cstheme="minorHAnsi"/>
                <w:b/>
                <w:bCs/>
              </w:rPr>
              <w:t>Dr Joe Henson</w:t>
            </w:r>
          </w:p>
        </w:tc>
      </w:tr>
      <w:tr w:rsidR="00066C81" w:rsidRPr="001256C5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1256C5" w:rsidRDefault="00066C81" w:rsidP="00066C81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48728C81" w:rsidR="00066C81" w:rsidRPr="001256C5" w:rsidRDefault="00A83104" w:rsidP="00066C81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hAnsiTheme="minorHAnsi" w:cstheme="minorHAnsi"/>
              </w:rPr>
              <w:t>Diabetes Research Centre</w:t>
            </w:r>
          </w:p>
        </w:tc>
      </w:tr>
      <w:tr w:rsidR="003A7DAE" w:rsidRPr="001256C5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1256C5" w:rsidRDefault="003A7DAE" w:rsidP="00066C81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15B2E651" w:rsidR="003A7DAE" w:rsidRPr="001256C5" w:rsidRDefault="00A83104" w:rsidP="00066C81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eastAsia="Times New Roman" w:hAnsiTheme="minorHAnsi" w:cstheme="minorHAnsi"/>
                <w:b/>
                <w:bCs/>
              </w:rPr>
              <w:t>jjh18@leicester.ac.uk</w:t>
            </w:r>
          </w:p>
        </w:tc>
      </w:tr>
    </w:tbl>
    <w:p w14:paraId="7C06D8EE" w14:textId="77777777" w:rsidR="00066C81" w:rsidRPr="001256C5" w:rsidRDefault="00066C81" w:rsidP="00066C81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:rsidRPr="001256C5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1256C5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75C4187B" w:rsidR="00066C81" w:rsidRPr="001256C5" w:rsidRDefault="00A83104" w:rsidP="00ED69E6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eastAsia="Times New Roman" w:hAnsiTheme="minorHAnsi" w:cstheme="minorHAnsi"/>
                <w:b/>
                <w:bCs/>
              </w:rPr>
              <w:t>Dr Cameron Razieh</w:t>
            </w:r>
          </w:p>
        </w:tc>
      </w:tr>
      <w:tr w:rsidR="00066C81" w:rsidRPr="001256C5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Pr="001256C5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3602BC8F" w:rsidR="00066C81" w:rsidRPr="001256C5" w:rsidRDefault="00A83104" w:rsidP="00ED69E6">
            <w:pPr>
              <w:rPr>
                <w:rFonts w:asciiTheme="minorHAnsi" w:hAnsiTheme="minorHAnsi" w:cstheme="minorHAnsi"/>
              </w:rPr>
            </w:pPr>
            <w:proofErr w:type="spellStart"/>
            <w:r w:rsidRPr="001256C5">
              <w:rPr>
                <w:rFonts w:asciiTheme="minorHAnsi" w:hAnsiTheme="minorHAnsi" w:cstheme="minorHAnsi"/>
              </w:rPr>
              <w:t>Leics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Real World Evidence Unit</w:t>
            </w:r>
          </w:p>
        </w:tc>
      </w:tr>
      <w:tr w:rsidR="003A7DAE" w:rsidRPr="001256C5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Pr="001256C5" w:rsidRDefault="003A7DAE" w:rsidP="00ED69E6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7E893FC7" w:rsidR="003A7DAE" w:rsidRPr="001256C5" w:rsidRDefault="00A83104" w:rsidP="00ED69E6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eastAsia="Times New Roman" w:hAnsiTheme="minorHAnsi" w:cstheme="minorHAnsi"/>
                <w:b/>
                <w:bCs/>
              </w:rPr>
              <w:t>cr288@leicester.ac.uk</w:t>
            </w:r>
          </w:p>
        </w:tc>
      </w:tr>
    </w:tbl>
    <w:p w14:paraId="3188842D" w14:textId="77777777" w:rsidR="00066C81" w:rsidRPr="001256C5" w:rsidRDefault="00066C81" w:rsidP="00066C81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:rsidRPr="001256C5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1256C5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AF0A95C" w:rsidR="00066C81" w:rsidRPr="001256C5" w:rsidRDefault="00A83104" w:rsidP="00ED69E6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eastAsia="Times New Roman" w:hAnsiTheme="minorHAnsi" w:cstheme="minorHAnsi"/>
                <w:b/>
                <w:bCs/>
              </w:rPr>
              <w:t>Professor Thomas Yates, Diabetes Research Centre, ty20@leicester.ac.uk</w:t>
            </w:r>
          </w:p>
        </w:tc>
      </w:tr>
    </w:tbl>
    <w:p w14:paraId="4806292A" w14:textId="77777777" w:rsidR="00066C81" w:rsidRPr="001256C5" w:rsidRDefault="00066C81" w:rsidP="00066C8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F660E25" w14:textId="77777777" w:rsidR="00066C81" w:rsidRPr="001256C5" w:rsidRDefault="00066C81" w:rsidP="00066C81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1256C5">
        <w:rPr>
          <w:rFonts w:asciiTheme="minorHAnsi" w:hAnsiTheme="minorHAnsi" w:cstheme="minorHAnsi"/>
          <w:b/>
        </w:rPr>
        <w:t xml:space="preserve">Section 2 – </w:t>
      </w:r>
      <w:r w:rsidRPr="001256C5">
        <w:rPr>
          <w:rFonts w:asciiTheme="minorHAnsi" w:hAnsiTheme="minorHAnsi" w:cstheme="minorHAnsi"/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:rsidRPr="001256C5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Pr="001256C5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hAnsiTheme="minorHAnsi" w:cstheme="minorHAnsi"/>
                <w:b/>
              </w:rPr>
              <w:t>Project Title</w:t>
            </w:r>
          </w:p>
          <w:p w14:paraId="2AE8459A" w14:textId="77777777" w:rsidR="00066C81" w:rsidRPr="001256C5" w:rsidRDefault="00066C81" w:rsidP="00ED69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6" w:type="dxa"/>
          </w:tcPr>
          <w:p w14:paraId="2BC2E11D" w14:textId="08C0F75A" w:rsidR="00066C81" w:rsidRPr="001256C5" w:rsidRDefault="00A83104" w:rsidP="00ED69E6">
            <w:pPr>
              <w:rPr>
                <w:rFonts w:asciiTheme="minorHAnsi" w:hAnsiTheme="minorHAnsi" w:cstheme="minorHAnsi"/>
                <w:b/>
                <w:bCs/>
              </w:rPr>
            </w:pPr>
            <w:r w:rsidRPr="001256C5">
              <w:rPr>
                <w:rFonts w:asciiTheme="minorHAnsi" w:hAnsiTheme="minorHAnsi" w:cstheme="minorHAnsi"/>
                <w:b/>
                <w:bCs/>
              </w:rPr>
              <w:t>Physical activity, circadian rhythms and health outcomes: Optimising the response using a personalised approach</w:t>
            </w:r>
          </w:p>
        </w:tc>
      </w:tr>
      <w:tr w:rsidR="00066C81" w:rsidRPr="001256C5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Pr="001256C5" w:rsidRDefault="00066C81" w:rsidP="00066C81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hAnsiTheme="minorHAnsi" w:cstheme="minorHAnsi"/>
                <w:b/>
                <w:highlight w:val="lightGray"/>
              </w:rPr>
              <w:t>Project Summary</w:t>
            </w:r>
            <w:r w:rsidRPr="001256C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66C81" w:rsidRPr="001256C5" w14:paraId="51FA071A" w14:textId="77777777" w:rsidTr="00ED69E6">
        <w:tc>
          <w:tcPr>
            <w:tcW w:w="9016" w:type="dxa"/>
            <w:gridSpan w:val="2"/>
          </w:tcPr>
          <w:p w14:paraId="25DA13BA" w14:textId="77777777" w:rsidR="00A83104" w:rsidRPr="001256C5" w:rsidRDefault="00A83104" w:rsidP="00A83104">
            <w:pPr>
              <w:jc w:val="both"/>
              <w:rPr>
                <w:rFonts w:asciiTheme="minorHAnsi" w:eastAsiaTheme="minorHAnsi" w:hAnsiTheme="minorHAnsi" w:cstheme="minorHAnsi"/>
                <w:color w:val="auto"/>
              </w:rPr>
            </w:pPr>
            <w:r w:rsidRPr="001256C5">
              <w:rPr>
                <w:rFonts w:asciiTheme="minorHAnsi" w:eastAsia="Times New Roman" w:hAnsiTheme="minorHAnsi" w:cstheme="minorHAnsi"/>
                <w:i/>
                <w:iCs/>
              </w:rPr>
              <w:t xml:space="preserve">Aim:  </w:t>
            </w:r>
            <w:r w:rsidRPr="001256C5">
              <w:rPr>
                <w:rFonts w:asciiTheme="minorHAnsi" w:hAnsiTheme="minorHAnsi" w:cstheme="minorHAnsi"/>
                <w:shd w:val="clear" w:color="auto" w:fill="FFFFFF"/>
              </w:rPr>
              <w:t xml:space="preserve">To evaluate </w:t>
            </w:r>
            <w:r w:rsidRPr="001256C5">
              <w:rPr>
                <w:rFonts w:asciiTheme="minorHAnsi" w:hAnsiTheme="minorHAnsi" w:cstheme="minorHAnsi"/>
              </w:rPr>
              <w:t xml:space="preserve">the timing and intensity of physical activity in accordance with the circadian rhythm on health outcomes in individuals living with and without type 2 diabetes (T2DM). </w:t>
            </w:r>
          </w:p>
          <w:p w14:paraId="3A338A62" w14:textId="77777777" w:rsidR="00A83104" w:rsidRPr="001256C5" w:rsidRDefault="00A83104" w:rsidP="00A83104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i/>
                <w:iCs/>
              </w:rPr>
            </w:pPr>
          </w:p>
          <w:p w14:paraId="665093D6" w14:textId="77777777" w:rsidR="00A83104" w:rsidRPr="001256C5" w:rsidRDefault="00A83104" w:rsidP="00A831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56C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en-GB"/>
              </w:rPr>
              <w:t xml:space="preserve">Background:  </w:t>
            </w:r>
            <w:r w:rsidRPr="001256C5">
              <w:rPr>
                <w:rFonts w:asciiTheme="minorHAnsi" w:hAnsiTheme="minorHAnsi" w:cstheme="minorHAnsi"/>
                <w:sz w:val="22"/>
                <w:szCs w:val="22"/>
              </w:rPr>
              <w:t>Although physical activity is a cornerstone treatment for the management of chronic disease (including T2DM) (1), its application is often based on a one-size-fits-all approach. Moreover, there is considerable variability in how individuals respond.</w:t>
            </w:r>
            <w:r w:rsidRPr="001256C5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1256C5">
              <w:rPr>
                <w:rFonts w:asciiTheme="minorHAnsi" w:hAnsiTheme="minorHAnsi" w:cstheme="minorHAnsi"/>
                <w:sz w:val="22"/>
                <w:szCs w:val="22"/>
              </w:rPr>
              <w:t xml:space="preserve">It is hypothesised that the intra-individual variability is partly driven by chronotype, which </w:t>
            </w:r>
            <w:r w:rsidRPr="001256C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is closely related to the circadian system, controlling 24-hour cycles of behaviour and physiology (4). </w:t>
            </w:r>
            <w:r w:rsidRPr="001256C5">
              <w:rPr>
                <w:rFonts w:asciiTheme="minorHAnsi" w:hAnsiTheme="minorHAnsi" w:cstheme="minorHAnsi"/>
                <w:sz w:val="22"/>
                <w:szCs w:val="22"/>
              </w:rPr>
              <w:t xml:space="preserve"> Indeed, those living with T2DM demonstrate signs indicative of clock disruption, which can lead to impaired glucose control (5). </w:t>
            </w:r>
            <w:r w:rsidRPr="001256C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Although light is the most important time cue to realign the circadian system, physical activity may</w:t>
            </w:r>
            <w:r w:rsidRPr="001256C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also act as a potent environmental cue to </w:t>
            </w:r>
            <w:r w:rsidRPr="001256C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foster chrono-biological homeostasis </w:t>
            </w:r>
            <w:r w:rsidRPr="001256C5">
              <w:rPr>
                <w:rFonts w:asciiTheme="minorHAnsi" w:hAnsiTheme="minorHAnsi" w:cstheme="minorHAnsi"/>
                <w:sz w:val="22"/>
                <w:szCs w:val="22"/>
              </w:rPr>
              <w:t>which is constantly being challenged by modern 24/7 society (6)</w:t>
            </w:r>
            <w:r w:rsidRPr="001256C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1256C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1256C5"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  <w:t>Despite holding great translational potential,</w:t>
            </w:r>
            <w:r w:rsidRPr="001256C5">
              <w:rPr>
                <w:rFonts w:asciiTheme="minorHAnsi" w:hAnsiTheme="minorHAnsi" w:cstheme="minorHAnsi"/>
                <w:sz w:val="22"/>
                <w:szCs w:val="22"/>
              </w:rPr>
              <w:t xml:space="preserve"> the impact of such an approach in those living with chronic disease(s) is unknown. </w:t>
            </w:r>
          </w:p>
          <w:p w14:paraId="3C446876" w14:textId="77777777" w:rsidR="00A83104" w:rsidRPr="001256C5" w:rsidRDefault="00A83104" w:rsidP="00A83104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i/>
                <w:iCs/>
              </w:rPr>
            </w:pPr>
          </w:p>
          <w:p w14:paraId="27684A0A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1256C5">
              <w:rPr>
                <w:rFonts w:asciiTheme="minorHAnsi" w:eastAsia="Times New Roman" w:hAnsiTheme="minorHAnsi" w:cstheme="minorHAnsi"/>
                <w:i/>
                <w:iCs/>
              </w:rPr>
              <w:t xml:space="preserve">Methods:  </w:t>
            </w:r>
            <w:r w:rsidRPr="001256C5">
              <w:rPr>
                <w:rFonts w:asciiTheme="minorHAnsi" w:eastAsia="Times New Roman" w:hAnsiTheme="minorHAnsi" w:cstheme="minorHAnsi"/>
              </w:rPr>
              <w:t xml:space="preserve">This programme of work will encompass epidemiological and experimental methodologies. </w:t>
            </w:r>
          </w:p>
          <w:p w14:paraId="66ED2CEF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33E1BBB8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hAnsiTheme="minorHAnsi" w:cstheme="minorHAnsi"/>
              </w:rPr>
              <w:t>Work Package 1-Epidemiology (years 1-3)</w:t>
            </w:r>
          </w:p>
          <w:p w14:paraId="75EB5516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02C25A0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hAnsiTheme="minorHAnsi" w:cstheme="minorHAnsi"/>
              </w:rPr>
              <w:t xml:space="preserve">In collaboration with the Leicester Real World Evidence Unit, this work package will use local and national datasets (e.g., UK BIOBANK), which include time-stamped physical activity to explore how differences in the timing and intensity, relative to chronotype preference, influence health outcomes. </w:t>
            </w:r>
          </w:p>
          <w:p w14:paraId="18AC560D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66DEBEB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hAnsiTheme="minorHAnsi" w:cstheme="minorHAnsi"/>
              </w:rPr>
              <w:t>Work Package 2-Experimental (Year 2-3)</w:t>
            </w:r>
          </w:p>
          <w:p w14:paraId="62005CE0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2F7FAA8" w14:textId="77777777" w:rsidR="00A83104" w:rsidRPr="001256C5" w:rsidRDefault="00A83104" w:rsidP="00A83104">
            <w:pPr>
              <w:jc w:val="both"/>
              <w:rPr>
                <w:rFonts w:asciiTheme="minorHAnsi" w:hAnsiTheme="minorHAnsi" w:cstheme="minorHAnsi"/>
                <w:color w:val="1F1F1F"/>
              </w:rPr>
            </w:pPr>
            <w:r w:rsidRPr="001256C5">
              <w:rPr>
                <w:rFonts w:asciiTheme="minorHAnsi" w:hAnsiTheme="minorHAnsi" w:cstheme="minorHAnsi"/>
              </w:rPr>
              <w:t>An N-of-1 randomised controlled trial study</w:t>
            </w:r>
            <w:r w:rsidRPr="001256C5">
              <w:rPr>
                <w:rFonts w:asciiTheme="minorHAnsi" w:hAnsiTheme="minorHAnsi" w:cstheme="minorHAnsi"/>
                <w:color w:val="1F1F1F"/>
              </w:rPr>
              <w:t xml:space="preserve"> design (i.e., a pooled crossover experiment with each participant acting as their own control over a series of interventions) will be used to </w:t>
            </w:r>
            <w:r w:rsidRPr="001256C5">
              <w:rPr>
                <w:rFonts w:asciiTheme="minorHAnsi" w:hAnsiTheme="minorHAnsi" w:cstheme="minorHAnsi"/>
              </w:rPr>
              <w:t xml:space="preserve">investigate whether the timing and/or intensity of physical activity interacts with chronotype in promoting glucose control (via continuous glucose monitoring) in those living with T2DM. Briefly, individuals will undertake the following interventions in a random order: a) Control, b) Morning physical activity: 1-2 hours before breakfast, c) Afternoon physical activity: 1-2 hours before afternoon meal, d) Evening physical activity: 1-2 hours before evening meal. </w:t>
            </w:r>
          </w:p>
          <w:p w14:paraId="3E57CD7B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972C857" w14:textId="77777777" w:rsidR="00A83104" w:rsidRPr="001256C5" w:rsidRDefault="00A83104" w:rsidP="00A831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256C5">
              <w:rPr>
                <w:rFonts w:asciiTheme="minorHAnsi" w:eastAsia="Times New Roman" w:hAnsiTheme="minorHAnsi" w:cstheme="minorHAnsi"/>
                <w:i/>
                <w:iCs/>
              </w:rPr>
              <w:t xml:space="preserve">Expected outcomes and impact: </w:t>
            </w:r>
            <w:r w:rsidRPr="001256C5">
              <w:rPr>
                <w:rFonts w:asciiTheme="minorHAnsi" w:hAnsiTheme="minorHAnsi" w:cstheme="minorHAnsi"/>
              </w:rPr>
              <w:t>A minimum of 2 high quality research outcomes will be produced. These will be complimented by focused knowledge exchange activities (e.g., conference attendance). T</w:t>
            </w:r>
            <w:r w:rsidRPr="001256C5">
              <w:rPr>
                <w:rFonts w:asciiTheme="minorHAnsi" w:eastAsia="Times New Roman" w:hAnsiTheme="minorHAnsi" w:cstheme="minorHAnsi"/>
              </w:rPr>
              <w:t xml:space="preserve">his multi-disciplinary, cross-cutting application will </w:t>
            </w:r>
            <w:r w:rsidRPr="001256C5">
              <w:rPr>
                <w:rFonts w:asciiTheme="minorHAnsi" w:hAnsiTheme="minorHAnsi" w:cstheme="minorHAnsi"/>
              </w:rPr>
              <w:t>explore how physical activity and sleep interventions can be combined to optimise health outcomes, which will allow greater patient choice, alongside more personalised, evidence-based care.</w:t>
            </w:r>
          </w:p>
          <w:p w14:paraId="2A156C72" w14:textId="7F33FCE2" w:rsidR="007B76D0" w:rsidRPr="001256C5" w:rsidRDefault="007B76D0" w:rsidP="007B76D0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</w:p>
          <w:p w14:paraId="12EE270E" w14:textId="77777777" w:rsidR="007B76D0" w:rsidRPr="001256C5" w:rsidRDefault="007B76D0" w:rsidP="007B76D0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</w:p>
          <w:p w14:paraId="52EFBB87" w14:textId="7E1FB0A7" w:rsidR="006B2AF2" w:rsidRPr="001256C5" w:rsidRDefault="006B2AF2" w:rsidP="007B76D0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3A7DAE" w:rsidRPr="001256C5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Pr="001256C5" w:rsidRDefault="003A7DAE" w:rsidP="001C1AF7">
            <w:pPr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hAnsiTheme="minorHAnsi" w:cstheme="minorHAnsi"/>
                <w:b/>
              </w:rPr>
              <w:lastRenderedPageBreak/>
              <w:t>References</w:t>
            </w:r>
          </w:p>
        </w:tc>
      </w:tr>
      <w:tr w:rsidR="003A7DAE" w:rsidRPr="001256C5" w14:paraId="6D3114C6" w14:textId="77777777" w:rsidTr="00ED69E6">
        <w:tc>
          <w:tcPr>
            <w:tcW w:w="9016" w:type="dxa"/>
            <w:gridSpan w:val="2"/>
          </w:tcPr>
          <w:p w14:paraId="30B40D21" w14:textId="77777777" w:rsidR="00A83104" w:rsidRPr="001256C5" w:rsidRDefault="00A83104" w:rsidP="00A8310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auto"/>
              </w:rPr>
            </w:pPr>
            <w:r w:rsidRPr="001256C5">
              <w:rPr>
                <w:rFonts w:asciiTheme="minorHAnsi" w:eastAsia="Times New Roman" w:hAnsiTheme="minorHAnsi" w:cstheme="minorHAnsi"/>
              </w:rPr>
              <w:t xml:space="preserve">1) </w:t>
            </w:r>
            <w:r w:rsidRPr="001256C5">
              <w:rPr>
                <w:rFonts w:asciiTheme="minorHAnsi" w:hAnsiTheme="minorHAnsi" w:cstheme="minorHAnsi"/>
              </w:rPr>
              <w:t xml:space="preserve">Davies MJ,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Aroda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VR, Collins BS,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Gabbay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RA, Green J,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Maruthur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NM, Rosas SE, Del Prato S, Mathieu C,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Mingrone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G,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Rossing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P,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Tankova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T,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Tsapas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A, Buse JB. Management of </w:t>
            </w:r>
            <w:proofErr w:type="spellStart"/>
            <w:r w:rsidRPr="001256C5">
              <w:rPr>
                <w:rFonts w:asciiTheme="minorHAnsi" w:hAnsiTheme="minorHAnsi" w:cstheme="minorHAnsi"/>
              </w:rPr>
              <w:t>Hyperglycemia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in Type 2 Diabetes, 2022. A Consensus Report by the American Diabetes Association (ADA) and the European Association for the Study of Diabetes (EASD). Diabetes Care. 2022 Nov 1;45(11):2753-2786. </w:t>
            </w:r>
            <w:proofErr w:type="spellStart"/>
            <w:r w:rsidRPr="001256C5">
              <w:rPr>
                <w:rFonts w:asciiTheme="minorHAnsi" w:hAnsiTheme="minorHAnsi" w:cstheme="minorHAnsi"/>
              </w:rPr>
              <w:t>doi</w:t>
            </w:r>
            <w:proofErr w:type="spellEnd"/>
            <w:r w:rsidRPr="001256C5">
              <w:rPr>
                <w:rFonts w:asciiTheme="minorHAnsi" w:hAnsiTheme="minorHAnsi" w:cstheme="minorHAnsi"/>
              </w:rPr>
              <w:t>: 10.2337/dci22-0034. PMID: 36148880; PMCID: PMC10008140.</w:t>
            </w:r>
          </w:p>
          <w:p w14:paraId="06687A44" w14:textId="77777777" w:rsidR="00A83104" w:rsidRPr="001256C5" w:rsidRDefault="00A83104" w:rsidP="00A831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eastAsia="Times New Roman" w:hAnsiTheme="minorHAnsi" w:cstheme="minorHAnsi"/>
              </w:rPr>
              <w:t xml:space="preserve">2) </w:t>
            </w:r>
            <w:r w:rsidRPr="001256C5">
              <w:rPr>
                <w:rFonts w:asciiTheme="minorHAnsi" w:hAnsiTheme="minorHAnsi" w:cstheme="minorHAnsi"/>
              </w:rPr>
              <w:t xml:space="preserve">Huang W, Ramsey KM,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Marcheva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B, Bass J. Circadian rhythms, sleep, and metabolism. J Clin Invest. 2011 Jun;121(6):2133-41. </w:t>
            </w:r>
            <w:proofErr w:type="spellStart"/>
            <w:r w:rsidRPr="001256C5">
              <w:rPr>
                <w:rFonts w:asciiTheme="minorHAnsi" w:hAnsiTheme="minorHAnsi" w:cstheme="minorHAnsi"/>
              </w:rPr>
              <w:t>doi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: 10.1172/JCI46043. </w:t>
            </w:r>
            <w:proofErr w:type="spellStart"/>
            <w:r w:rsidRPr="001256C5">
              <w:rPr>
                <w:rFonts w:asciiTheme="minorHAnsi" w:hAnsiTheme="minorHAnsi" w:cstheme="minorHAnsi"/>
              </w:rPr>
              <w:t>Epub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2011 Jun 1. PMID: 21633182; PMCID: PMC3104765.</w:t>
            </w:r>
          </w:p>
          <w:p w14:paraId="71273CEB" w14:textId="77777777" w:rsidR="00A83104" w:rsidRPr="001256C5" w:rsidRDefault="00A83104" w:rsidP="00A831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56C5">
              <w:rPr>
                <w:rFonts w:asciiTheme="minorHAnsi" w:eastAsia="Times New Roman" w:hAnsiTheme="minorHAnsi" w:cstheme="minorHAnsi"/>
              </w:rPr>
              <w:t xml:space="preserve">3) </w:t>
            </w:r>
            <w:r w:rsidRPr="001256C5">
              <w:rPr>
                <w:rFonts w:asciiTheme="minorHAnsi" w:hAnsiTheme="minorHAnsi" w:cstheme="minorHAnsi"/>
              </w:rPr>
              <w:t xml:space="preserve">Van </w:t>
            </w:r>
            <w:proofErr w:type="spellStart"/>
            <w:r w:rsidRPr="001256C5">
              <w:rPr>
                <w:rFonts w:asciiTheme="minorHAnsi" w:hAnsiTheme="minorHAnsi" w:cstheme="minorHAnsi"/>
              </w:rPr>
              <w:t>Cauter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E, Polonsky KS, </w:t>
            </w:r>
            <w:proofErr w:type="spellStart"/>
            <w:r w:rsidRPr="001256C5">
              <w:rPr>
                <w:rFonts w:asciiTheme="minorHAnsi" w:hAnsiTheme="minorHAnsi" w:cstheme="minorHAnsi"/>
              </w:rPr>
              <w:t>Scheen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AJ. Roles of circadian rhythmicity and sleep in human glucose regulation. </w:t>
            </w:r>
            <w:proofErr w:type="spellStart"/>
            <w:r w:rsidRPr="001256C5">
              <w:rPr>
                <w:rFonts w:asciiTheme="minorHAnsi" w:hAnsiTheme="minorHAnsi" w:cstheme="minorHAnsi"/>
              </w:rPr>
              <w:t>Endocr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 Rev. 1997 Oct;18(5):716-38. </w:t>
            </w:r>
            <w:proofErr w:type="spellStart"/>
            <w:r w:rsidRPr="001256C5">
              <w:rPr>
                <w:rFonts w:asciiTheme="minorHAnsi" w:hAnsiTheme="minorHAnsi" w:cstheme="minorHAnsi"/>
              </w:rPr>
              <w:t>doi</w:t>
            </w:r>
            <w:proofErr w:type="spellEnd"/>
            <w:r w:rsidRPr="001256C5">
              <w:rPr>
                <w:rFonts w:asciiTheme="minorHAnsi" w:hAnsiTheme="minorHAnsi" w:cstheme="minorHAnsi"/>
              </w:rPr>
              <w:t>: 10.1210/edrv.18.5.0317. PMID: 9331550.</w:t>
            </w:r>
          </w:p>
          <w:p w14:paraId="4CC99A4B" w14:textId="095908BF" w:rsidR="003A7DAE" w:rsidRPr="001256C5" w:rsidRDefault="00A83104" w:rsidP="00A83104">
            <w:pPr>
              <w:rPr>
                <w:rFonts w:asciiTheme="minorHAnsi" w:hAnsiTheme="minorHAnsi" w:cstheme="minorHAnsi"/>
                <w:b/>
              </w:rPr>
            </w:pPr>
            <w:r w:rsidRPr="001256C5">
              <w:rPr>
                <w:rFonts w:asciiTheme="minorHAnsi" w:eastAsia="Times New Roman" w:hAnsiTheme="minorHAnsi" w:cstheme="minorHAnsi"/>
              </w:rPr>
              <w:t xml:space="preserve">4) </w:t>
            </w:r>
            <w:r w:rsidRPr="001256C5">
              <w:rPr>
                <w:rFonts w:asciiTheme="minorHAnsi" w:hAnsiTheme="minorHAnsi" w:cstheme="minorHAnsi"/>
              </w:rPr>
              <w:t xml:space="preserve">Shen B, Ma C, Wu G, Liu H, Chen L, Yang G. Effects of exercise on circadian rhythms in humans. Front </w:t>
            </w:r>
            <w:proofErr w:type="spellStart"/>
            <w:r w:rsidRPr="001256C5">
              <w:rPr>
                <w:rFonts w:asciiTheme="minorHAnsi" w:hAnsiTheme="minorHAnsi" w:cstheme="minorHAnsi"/>
              </w:rPr>
              <w:t>Pharmacol</w:t>
            </w:r>
            <w:proofErr w:type="spellEnd"/>
            <w:r w:rsidRPr="001256C5">
              <w:rPr>
                <w:rFonts w:asciiTheme="minorHAnsi" w:hAnsiTheme="minorHAnsi" w:cstheme="minorHAnsi"/>
              </w:rPr>
              <w:t xml:space="preserve">. 2023 Oct </w:t>
            </w:r>
            <w:proofErr w:type="gramStart"/>
            <w:r w:rsidRPr="001256C5">
              <w:rPr>
                <w:rFonts w:asciiTheme="minorHAnsi" w:hAnsiTheme="minorHAnsi" w:cstheme="minorHAnsi"/>
              </w:rPr>
              <w:t>11;14:1282357</w:t>
            </w:r>
            <w:proofErr w:type="gramEnd"/>
            <w:r w:rsidRPr="001256C5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1256C5">
              <w:rPr>
                <w:rFonts w:asciiTheme="minorHAnsi" w:hAnsiTheme="minorHAnsi" w:cstheme="minorHAnsi"/>
              </w:rPr>
              <w:t>doi</w:t>
            </w:r>
            <w:proofErr w:type="spellEnd"/>
            <w:r w:rsidRPr="001256C5">
              <w:rPr>
                <w:rFonts w:asciiTheme="minorHAnsi" w:hAnsiTheme="minorHAnsi" w:cstheme="minorHAnsi"/>
              </w:rPr>
              <w:t>: 10.3389/fphar.2023.1282357. PMID: 37886134; PMCID: PMC10598774.</w:t>
            </w:r>
          </w:p>
        </w:tc>
      </w:tr>
    </w:tbl>
    <w:p w14:paraId="7FEF6135" w14:textId="77777777" w:rsidR="00066C81" w:rsidRPr="001256C5" w:rsidRDefault="00066C81" w:rsidP="00066C8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1D713C9F" w14:textId="77777777" w:rsidR="00066C81" w:rsidRPr="001256C5" w:rsidRDefault="00066C81" w:rsidP="00066C8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066C81" w:rsidRPr="001256C5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9C5"/>
    <w:multiLevelType w:val="hybridMultilevel"/>
    <w:tmpl w:val="CADCE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42D"/>
    <w:multiLevelType w:val="hybridMultilevel"/>
    <w:tmpl w:val="265606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0911"/>
    <w:multiLevelType w:val="hybridMultilevel"/>
    <w:tmpl w:val="F420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2114"/>
    <w:multiLevelType w:val="hybridMultilevel"/>
    <w:tmpl w:val="FCDE86A0"/>
    <w:lvl w:ilvl="0" w:tplc="5CAE138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A2C07F2"/>
    <w:multiLevelType w:val="hybridMultilevel"/>
    <w:tmpl w:val="0E40E9D2"/>
    <w:lvl w:ilvl="0" w:tplc="39E221B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365A0"/>
    <w:multiLevelType w:val="hybridMultilevel"/>
    <w:tmpl w:val="BA700820"/>
    <w:lvl w:ilvl="0" w:tplc="4FB42250">
      <w:start w:val="2"/>
      <w:numFmt w:val="decimal"/>
      <w:lvlText w:val="%1."/>
      <w:lvlJc w:val="left"/>
      <w:pPr>
        <w:ind w:left="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D4A91E">
      <w:numFmt w:val="bullet"/>
      <w:lvlText w:val="•"/>
      <w:lvlJc w:val="left"/>
      <w:pPr>
        <w:ind w:left="907" w:hanging="720"/>
      </w:pPr>
      <w:rPr>
        <w:rFonts w:hint="default"/>
        <w:lang w:val="en-US" w:eastAsia="en-US" w:bidi="ar-SA"/>
      </w:rPr>
    </w:lvl>
    <w:lvl w:ilvl="2" w:tplc="705AA274">
      <w:numFmt w:val="bullet"/>
      <w:lvlText w:val="•"/>
      <w:lvlJc w:val="left"/>
      <w:pPr>
        <w:ind w:left="1814" w:hanging="720"/>
      </w:pPr>
      <w:rPr>
        <w:rFonts w:hint="default"/>
        <w:lang w:val="en-US" w:eastAsia="en-US" w:bidi="ar-SA"/>
      </w:rPr>
    </w:lvl>
    <w:lvl w:ilvl="3" w:tplc="D27C6E5C"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4" w:tplc="5AC24CAA">
      <w:numFmt w:val="bullet"/>
      <w:lvlText w:val="•"/>
      <w:lvlJc w:val="left"/>
      <w:pPr>
        <w:ind w:left="3629" w:hanging="720"/>
      </w:pPr>
      <w:rPr>
        <w:rFonts w:hint="default"/>
        <w:lang w:val="en-US" w:eastAsia="en-US" w:bidi="ar-SA"/>
      </w:rPr>
    </w:lvl>
    <w:lvl w:ilvl="5" w:tplc="645452D6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6" w:tplc="31BEA808">
      <w:numFmt w:val="bullet"/>
      <w:lvlText w:val="•"/>
      <w:lvlJc w:val="left"/>
      <w:pPr>
        <w:ind w:left="5443" w:hanging="720"/>
      </w:pPr>
      <w:rPr>
        <w:rFonts w:hint="default"/>
        <w:lang w:val="en-US" w:eastAsia="en-US" w:bidi="ar-SA"/>
      </w:rPr>
    </w:lvl>
    <w:lvl w:ilvl="7" w:tplc="B4FEFFE4"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8" w:tplc="69CC0FDA">
      <w:numFmt w:val="bullet"/>
      <w:lvlText w:val="•"/>
      <w:lvlJc w:val="left"/>
      <w:pPr>
        <w:ind w:left="725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66631F8C"/>
    <w:multiLevelType w:val="hybridMultilevel"/>
    <w:tmpl w:val="D864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1256C5"/>
    <w:rsid w:val="003A7DAE"/>
    <w:rsid w:val="00437E7E"/>
    <w:rsid w:val="004E665D"/>
    <w:rsid w:val="004F32E0"/>
    <w:rsid w:val="00640C92"/>
    <w:rsid w:val="006B2AF2"/>
    <w:rsid w:val="00767E66"/>
    <w:rsid w:val="00771BF5"/>
    <w:rsid w:val="007B76D0"/>
    <w:rsid w:val="00803EC8"/>
    <w:rsid w:val="00850BDA"/>
    <w:rsid w:val="008E267D"/>
    <w:rsid w:val="0092013B"/>
    <w:rsid w:val="009C47A8"/>
    <w:rsid w:val="00A83104"/>
    <w:rsid w:val="00AE49DF"/>
    <w:rsid w:val="00BA5EC2"/>
    <w:rsid w:val="00BB70D0"/>
    <w:rsid w:val="00BD5F21"/>
    <w:rsid w:val="00C13E6D"/>
    <w:rsid w:val="00E908FE"/>
    <w:rsid w:val="00E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2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67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67D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08FE"/>
    <w:rPr>
      <w:rFonts w:ascii="Calibri" w:eastAsia="Calibri" w:hAnsi="Calibri" w:cs="Calibri"/>
      <w:color w:val="000000"/>
      <w:lang w:eastAsia="en-GB"/>
    </w:rPr>
  </w:style>
  <w:style w:type="character" w:customStyle="1" w:styleId="ref-title">
    <w:name w:val="ref-title"/>
    <w:basedOn w:val="DefaultParagraphFont"/>
    <w:rsid w:val="00BA5EC2"/>
  </w:style>
  <w:style w:type="character" w:customStyle="1" w:styleId="ref-journal">
    <w:name w:val="ref-journal"/>
    <w:basedOn w:val="DefaultParagraphFont"/>
    <w:rsid w:val="00BA5EC2"/>
  </w:style>
  <w:style w:type="character" w:customStyle="1" w:styleId="ref-vol">
    <w:name w:val="ref-vol"/>
    <w:basedOn w:val="DefaultParagraphFont"/>
    <w:rsid w:val="00BA5EC2"/>
  </w:style>
  <w:style w:type="character" w:customStyle="1" w:styleId="ref-iss">
    <w:name w:val="ref-iss"/>
    <w:basedOn w:val="DefaultParagraphFont"/>
    <w:rsid w:val="00BA5EC2"/>
  </w:style>
  <w:style w:type="character" w:customStyle="1" w:styleId="mixed-citation">
    <w:name w:val="mixed-citation"/>
    <w:basedOn w:val="DefaultParagraphFont"/>
    <w:rsid w:val="00BA5EC2"/>
  </w:style>
  <w:style w:type="paragraph" w:styleId="BodyText">
    <w:name w:val="Body Text"/>
    <w:basedOn w:val="Normal"/>
    <w:link w:val="BodyTextChar"/>
    <w:uiPriority w:val="1"/>
    <w:qFormat/>
    <w:rsid w:val="00771BF5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1BF5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71BF5"/>
    <w:pPr>
      <w:widowControl w:val="0"/>
      <w:autoSpaceDE w:val="0"/>
      <w:autoSpaceDN w:val="0"/>
      <w:spacing w:before="1" w:after="0" w:line="240" w:lineRule="auto"/>
      <w:ind w:left="244" w:hanging="238"/>
    </w:pPr>
    <w:rPr>
      <w:color w:val="auto"/>
      <w:lang w:val="en-US" w:eastAsia="en-US"/>
    </w:rPr>
  </w:style>
  <w:style w:type="paragraph" w:customStyle="1" w:styleId="Default">
    <w:name w:val="Default"/>
    <w:rsid w:val="00A83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2</cp:revision>
  <dcterms:created xsi:type="dcterms:W3CDTF">2024-12-18T15:06:00Z</dcterms:created>
  <dcterms:modified xsi:type="dcterms:W3CDTF">2024-12-18T15:06:00Z</dcterms:modified>
</cp:coreProperties>
</file>