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F4B2" w14:textId="064BF841" w:rsidR="00AE49DF" w:rsidRPr="00881714" w:rsidRDefault="00AE49DF" w:rsidP="00066C81">
      <w:pPr>
        <w:spacing w:after="0" w:line="240" w:lineRule="auto"/>
        <w:rPr>
          <w:rFonts w:asciiTheme="minorHAnsi" w:hAnsiTheme="minorHAnsi" w:cstheme="minorHAnsi"/>
          <w:b/>
          <w:bCs/>
          <w:color w:val="auto"/>
        </w:rPr>
      </w:pPr>
    </w:p>
    <w:p w14:paraId="44BD011A" w14:textId="344DC128" w:rsidR="008E267D" w:rsidRPr="00881714" w:rsidRDefault="008E267D" w:rsidP="00850BDA">
      <w:pPr>
        <w:autoSpaceDE w:val="0"/>
        <w:autoSpaceDN w:val="0"/>
        <w:adjustRightInd w:val="0"/>
        <w:spacing w:after="0" w:line="240" w:lineRule="auto"/>
        <w:rPr>
          <w:rFonts w:asciiTheme="minorHAnsi" w:hAnsiTheme="minorHAnsi" w:cstheme="minorHAnsi"/>
          <w:b/>
          <w:bCs/>
          <w:color w:val="auto"/>
        </w:rPr>
      </w:pPr>
      <w:r w:rsidRPr="00881714">
        <w:rPr>
          <w:rFonts w:asciiTheme="minorHAnsi" w:hAnsiTheme="minorHAnsi" w:cstheme="minorHAnsi"/>
          <w:b/>
          <w:bCs/>
          <w:color w:val="auto"/>
        </w:rPr>
        <w:t>LEICESTER LIFESTYLE AND HEALTH RESEARCH GROUP</w:t>
      </w:r>
    </w:p>
    <w:p w14:paraId="25F7EBDB" w14:textId="77777777" w:rsidR="00881714" w:rsidRPr="00881714" w:rsidRDefault="00881714" w:rsidP="00850BDA">
      <w:pPr>
        <w:autoSpaceDE w:val="0"/>
        <w:autoSpaceDN w:val="0"/>
        <w:adjustRightInd w:val="0"/>
        <w:spacing w:after="0" w:line="240" w:lineRule="auto"/>
        <w:rPr>
          <w:rFonts w:asciiTheme="minorHAnsi" w:eastAsiaTheme="minorHAnsi" w:hAnsiTheme="minorHAnsi" w:cstheme="minorHAnsi"/>
          <w:b/>
          <w:bCs/>
          <w:color w:val="auto"/>
        </w:rPr>
      </w:pPr>
    </w:p>
    <w:p w14:paraId="517CF249" w14:textId="77777777" w:rsidR="007B76D0" w:rsidRPr="00881714" w:rsidRDefault="007B76D0" w:rsidP="007B76D0">
      <w:pPr>
        <w:spacing w:after="0" w:line="240" w:lineRule="auto"/>
        <w:textAlignment w:val="baseline"/>
        <w:rPr>
          <w:rFonts w:asciiTheme="minorHAnsi" w:hAnsiTheme="minorHAnsi" w:cstheme="minorHAnsi"/>
          <w:b/>
          <w:bCs/>
          <w:color w:val="auto"/>
        </w:rPr>
      </w:pPr>
      <w:r w:rsidRPr="00881714">
        <w:rPr>
          <w:rFonts w:asciiTheme="minorHAnsi" w:hAnsiTheme="minorHAnsi" w:cstheme="minorHAnsi"/>
          <w:b/>
          <w:bCs/>
          <w:color w:val="auto"/>
        </w:rPr>
        <w:t>The effect of glucagon-like peptide-1 receptor agonists on exercise adaptation</w:t>
      </w:r>
    </w:p>
    <w:p w14:paraId="0111EFB0" w14:textId="77777777" w:rsidR="00771BF5" w:rsidRPr="00881714" w:rsidRDefault="00771BF5" w:rsidP="00066C81">
      <w:pPr>
        <w:spacing w:after="0" w:line="240" w:lineRule="auto"/>
        <w:rPr>
          <w:rFonts w:asciiTheme="minorHAnsi" w:hAnsiTheme="minorHAnsi" w:cstheme="minorHAnsi"/>
          <w:b/>
          <w:bCs/>
          <w:color w:val="auto"/>
        </w:rPr>
      </w:pPr>
    </w:p>
    <w:p w14:paraId="482D9E85" w14:textId="77777777" w:rsidR="00AE49DF" w:rsidRPr="00881714" w:rsidRDefault="00AE49DF" w:rsidP="00066C81">
      <w:pPr>
        <w:spacing w:after="0" w:line="240" w:lineRule="auto"/>
        <w:rPr>
          <w:rFonts w:asciiTheme="minorHAnsi" w:hAnsiTheme="minorHAnsi" w:cstheme="minorHAnsi"/>
          <w:b/>
          <w:bCs/>
          <w:color w:val="auto"/>
        </w:rPr>
      </w:pPr>
    </w:p>
    <w:p w14:paraId="1F075E5A" w14:textId="77777777" w:rsidR="00066C81" w:rsidRPr="00881714" w:rsidRDefault="00066C81" w:rsidP="00066C81">
      <w:pPr>
        <w:spacing w:after="0" w:line="240" w:lineRule="auto"/>
        <w:rPr>
          <w:rFonts w:asciiTheme="minorHAnsi" w:hAnsiTheme="minorHAnsi" w:cstheme="minorHAnsi"/>
          <w:color w:val="auto"/>
        </w:rPr>
      </w:pPr>
    </w:p>
    <w:tbl>
      <w:tblPr>
        <w:tblStyle w:val="TableGrid1"/>
        <w:tblW w:w="9034" w:type="dxa"/>
        <w:tblLayout w:type="fixed"/>
        <w:tblLook w:val="04A0" w:firstRow="1" w:lastRow="0" w:firstColumn="1" w:lastColumn="0" w:noHBand="0" w:noVBand="1"/>
      </w:tblPr>
      <w:tblGrid>
        <w:gridCol w:w="3227"/>
        <w:gridCol w:w="5807"/>
      </w:tblGrid>
      <w:tr w:rsidR="00881714" w:rsidRPr="00881714" w14:paraId="02121747" w14:textId="77777777" w:rsidTr="00ED69E6">
        <w:tc>
          <w:tcPr>
            <w:tcW w:w="3227" w:type="dxa"/>
            <w:shd w:val="clear" w:color="auto" w:fill="F2F2F2" w:themeFill="background1" w:themeFillShade="F2"/>
          </w:tcPr>
          <w:p w14:paraId="78BB6E55" w14:textId="77777777" w:rsidR="00066C81" w:rsidRPr="00881714" w:rsidRDefault="00066C81" w:rsidP="00066C81">
            <w:pPr>
              <w:rPr>
                <w:rFonts w:asciiTheme="minorHAnsi" w:hAnsiTheme="minorHAnsi" w:cstheme="minorHAnsi"/>
                <w:b/>
                <w:color w:val="auto"/>
              </w:rPr>
            </w:pPr>
            <w:r w:rsidRPr="00881714">
              <w:rPr>
                <w:rFonts w:asciiTheme="minorHAnsi" w:hAnsiTheme="minorHAnsi" w:cstheme="minorHAnsi"/>
                <w:b/>
                <w:color w:val="auto"/>
              </w:rPr>
              <w:t>First Supervisor</w:t>
            </w:r>
          </w:p>
        </w:tc>
        <w:tc>
          <w:tcPr>
            <w:tcW w:w="5807" w:type="dxa"/>
          </w:tcPr>
          <w:p w14:paraId="4984ADF3" w14:textId="33CE56F3" w:rsidR="00066C81" w:rsidRPr="00881714" w:rsidRDefault="007B76D0" w:rsidP="00066C81">
            <w:pPr>
              <w:rPr>
                <w:rFonts w:asciiTheme="minorHAnsi" w:hAnsiTheme="minorHAnsi" w:cstheme="minorHAnsi"/>
                <w:color w:val="auto"/>
              </w:rPr>
            </w:pPr>
            <w:r w:rsidRPr="00881714">
              <w:rPr>
                <w:rFonts w:asciiTheme="minorHAnsi" w:eastAsia="Times New Roman" w:hAnsiTheme="minorHAnsi" w:cstheme="minorHAnsi"/>
                <w:b/>
                <w:bCs/>
                <w:color w:val="auto"/>
              </w:rPr>
              <w:t>Dr Emma Watson</w:t>
            </w:r>
          </w:p>
        </w:tc>
      </w:tr>
      <w:tr w:rsidR="00881714" w:rsidRPr="00881714" w14:paraId="6DC0E45D" w14:textId="77777777" w:rsidTr="00ED69E6">
        <w:tc>
          <w:tcPr>
            <w:tcW w:w="3227" w:type="dxa"/>
            <w:shd w:val="clear" w:color="auto" w:fill="F2F2F2" w:themeFill="background1" w:themeFillShade="F2"/>
          </w:tcPr>
          <w:p w14:paraId="0B13A3A9" w14:textId="77777777" w:rsidR="00066C81" w:rsidRPr="00881714" w:rsidRDefault="00066C81" w:rsidP="00066C81">
            <w:pPr>
              <w:rPr>
                <w:rFonts w:asciiTheme="minorHAnsi" w:hAnsiTheme="minorHAnsi" w:cstheme="minorHAnsi"/>
                <w:b/>
                <w:color w:val="auto"/>
              </w:rPr>
            </w:pPr>
            <w:r w:rsidRPr="00881714">
              <w:rPr>
                <w:rFonts w:asciiTheme="minorHAnsi" w:hAnsiTheme="minorHAnsi" w:cstheme="minorHAnsi"/>
                <w:b/>
                <w:color w:val="auto"/>
              </w:rPr>
              <w:t>School/Department</w:t>
            </w:r>
          </w:p>
        </w:tc>
        <w:tc>
          <w:tcPr>
            <w:tcW w:w="5807" w:type="dxa"/>
          </w:tcPr>
          <w:p w14:paraId="0B7A4BF6" w14:textId="4FB592CD" w:rsidR="00066C81" w:rsidRPr="00881714" w:rsidRDefault="00176D87" w:rsidP="00066C81">
            <w:pPr>
              <w:rPr>
                <w:rFonts w:asciiTheme="minorHAnsi" w:hAnsiTheme="minorHAnsi" w:cstheme="minorHAnsi"/>
                <w:color w:val="auto"/>
              </w:rPr>
            </w:pPr>
            <w:r w:rsidRPr="00881714">
              <w:rPr>
                <w:rFonts w:asciiTheme="minorHAnsi" w:eastAsia="Times New Roman" w:hAnsiTheme="minorHAnsi" w:cstheme="minorHAnsi"/>
                <w:color w:val="auto"/>
              </w:rPr>
              <w:t>Cardiovascular Sciences</w:t>
            </w:r>
          </w:p>
        </w:tc>
      </w:tr>
      <w:tr w:rsidR="00881714" w:rsidRPr="00881714" w14:paraId="566BAE34" w14:textId="77777777" w:rsidTr="00BA13A1">
        <w:tc>
          <w:tcPr>
            <w:tcW w:w="3227" w:type="dxa"/>
            <w:shd w:val="clear" w:color="auto" w:fill="F2F2F2" w:themeFill="background1" w:themeFillShade="F2"/>
          </w:tcPr>
          <w:p w14:paraId="1C05A3B9" w14:textId="77777777" w:rsidR="003A7DAE" w:rsidRPr="00881714" w:rsidRDefault="003A7DAE" w:rsidP="00066C81">
            <w:pPr>
              <w:rPr>
                <w:rFonts w:asciiTheme="minorHAnsi" w:hAnsiTheme="minorHAnsi" w:cstheme="minorHAnsi"/>
                <w:b/>
                <w:color w:val="auto"/>
              </w:rPr>
            </w:pPr>
            <w:r w:rsidRPr="00881714">
              <w:rPr>
                <w:rFonts w:asciiTheme="minorHAnsi" w:hAnsiTheme="minorHAnsi" w:cstheme="minorHAnsi"/>
                <w:b/>
                <w:color w:val="auto"/>
              </w:rPr>
              <w:t xml:space="preserve">Email </w:t>
            </w:r>
          </w:p>
        </w:tc>
        <w:tc>
          <w:tcPr>
            <w:tcW w:w="5807" w:type="dxa"/>
          </w:tcPr>
          <w:p w14:paraId="28BF855B" w14:textId="6FBD9285" w:rsidR="003A7DAE" w:rsidRPr="00881714" w:rsidRDefault="00176D87" w:rsidP="00066C81">
            <w:pPr>
              <w:rPr>
                <w:rFonts w:asciiTheme="minorHAnsi" w:hAnsiTheme="minorHAnsi" w:cstheme="minorHAnsi"/>
                <w:color w:val="auto"/>
              </w:rPr>
            </w:pPr>
            <w:hyperlink r:id="rId5" w:history="1">
              <w:r w:rsidRPr="00176D87">
                <w:rPr>
                  <w:rStyle w:val="Hyperlink"/>
                  <w:rFonts w:asciiTheme="minorHAnsi" w:hAnsiTheme="minorHAnsi" w:cstheme="minorHAnsi"/>
                  <w:b/>
                  <w:bCs/>
                </w:rPr>
                <w:t>emma.watson@le.ac.uk</w:t>
              </w:r>
            </w:hyperlink>
          </w:p>
        </w:tc>
      </w:tr>
    </w:tbl>
    <w:p w14:paraId="7C06D8EE" w14:textId="77777777" w:rsidR="00066C81" w:rsidRPr="00881714" w:rsidRDefault="00066C81" w:rsidP="00066C81">
      <w:pPr>
        <w:spacing w:after="0" w:line="240" w:lineRule="auto"/>
        <w:rPr>
          <w:rFonts w:asciiTheme="minorHAnsi" w:hAnsiTheme="minorHAnsi" w:cstheme="minorHAnsi"/>
          <w:color w:val="auto"/>
        </w:rPr>
      </w:pPr>
    </w:p>
    <w:tbl>
      <w:tblPr>
        <w:tblStyle w:val="TableGrid"/>
        <w:tblW w:w="9034" w:type="dxa"/>
        <w:tblLayout w:type="fixed"/>
        <w:tblLook w:val="04A0" w:firstRow="1" w:lastRow="0" w:firstColumn="1" w:lastColumn="0" w:noHBand="0" w:noVBand="1"/>
      </w:tblPr>
      <w:tblGrid>
        <w:gridCol w:w="3256"/>
        <w:gridCol w:w="5778"/>
      </w:tblGrid>
      <w:tr w:rsidR="00881714" w:rsidRPr="00881714" w14:paraId="5A30D420" w14:textId="77777777" w:rsidTr="00066C81">
        <w:tc>
          <w:tcPr>
            <w:tcW w:w="3256" w:type="dxa"/>
            <w:shd w:val="clear" w:color="auto" w:fill="F2F2F2" w:themeFill="background1" w:themeFillShade="F2"/>
          </w:tcPr>
          <w:p w14:paraId="2DBD0CB6" w14:textId="77777777" w:rsidR="00066C81" w:rsidRPr="00881714" w:rsidRDefault="00066C81" w:rsidP="00ED69E6">
            <w:pPr>
              <w:rPr>
                <w:rFonts w:asciiTheme="minorHAnsi" w:hAnsiTheme="minorHAnsi" w:cstheme="minorHAnsi"/>
                <w:b/>
                <w:color w:val="auto"/>
              </w:rPr>
            </w:pPr>
            <w:r w:rsidRPr="00881714">
              <w:rPr>
                <w:rFonts w:asciiTheme="minorHAnsi" w:hAnsiTheme="minorHAnsi" w:cstheme="minorHAnsi"/>
                <w:b/>
                <w:color w:val="auto"/>
              </w:rPr>
              <w:t>Second Supervisor</w:t>
            </w:r>
          </w:p>
        </w:tc>
        <w:tc>
          <w:tcPr>
            <w:tcW w:w="5778" w:type="dxa"/>
          </w:tcPr>
          <w:p w14:paraId="489D6B79" w14:textId="4CFFE5CF" w:rsidR="00066C81" w:rsidRPr="00881714" w:rsidRDefault="006B2AF2" w:rsidP="00ED69E6">
            <w:pPr>
              <w:rPr>
                <w:rFonts w:asciiTheme="minorHAnsi" w:hAnsiTheme="minorHAnsi" w:cstheme="minorHAnsi"/>
                <w:color w:val="auto"/>
              </w:rPr>
            </w:pPr>
            <w:r w:rsidRPr="00881714">
              <w:rPr>
                <w:rFonts w:asciiTheme="minorHAnsi" w:eastAsia="Times New Roman" w:hAnsiTheme="minorHAnsi" w:cstheme="minorHAnsi"/>
                <w:b/>
                <w:bCs/>
                <w:color w:val="auto"/>
              </w:rPr>
              <w:t>Luke Baker</w:t>
            </w:r>
          </w:p>
        </w:tc>
      </w:tr>
      <w:tr w:rsidR="00881714" w:rsidRPr="00881714" w14:paraId="04ACFF8B" w14:textId="77777777" w:rsidTr="00066C81">
        <w:tc>
          <w:tcPr>
            <w:tcW w:w="3256" w:type="dxa"/>
            <w:shd w:val="clear" w:color="auto" w:fill="F2F2F2" w:themeFill="background1" w:themeFillShade="F2"/>
          </w:tcPr>
          <w:p w14:paraId="1E46C14B" w14:textId="77777777" w:rsidR="00066C81" w:rsidRPr="00881714" w:rsidRDefault="00066C81" w:rsidP="00ED69E6">
            <w:pPr>
              <w:rPr>
                <w:rFonts w:asciiTheme="minorHAnsi" w:hAnsiTheme="minorHAnsi" w:cstheme="minorHAnsi"/>
                <w:b/>
                <w:color w:val="auto"/>
              </w:rPr>
            </w:pPr>
            <w:r w:rsidRPr="00881714">
              <w:rPr>
                <w:rFonts w:asciiTheme="minorHAnsi" w:hAnsiTheme="minorHAnsi" w:cstheme="minorHAnsi"/>
                <w:b/>
                <w:color w:val="auto"/>
              </w:rPr>
              <w:t>School/Department</w:t>
            </w:r>
          </w:p>
        </w:tc>
        <w:tc>
          <w:tcPr>
            <w:tcW w:w="5778" w:type="dxa"/>
          </w:tcPr>
          <w:p w14:paraId="1B7222C7" w14:textId="3ECBCB9B" w:rsidR="00066C81" w:rsidRPr="00881714" w:rsidRDefault="006B2AF2" w:rsidP="00ED69E6">
            <w:pPr>
              <w:rPr>
                <w:rFonts w:asciiTheme="minorHAnsi" w:hAnsiTheme="minorHAnsi" w:cstheme="minorHAnsi"/>
                <w:color w:val="auto"/>
              </w:rPr>
            </w:pPr>
            <w:r w:rsidRPr="00881714">
              <w:rPr>
                <w:rFonts w:asciiTheme="minorHAnsi" w:hAnsiTheme="minorHAnsi" w:cstheme="minorHAnsi"/>
                <w:color w:val="auto"/>
              </w:rPr>
              <w:t>Respiratory Sciences</w:t>
            </w:r>
          </w:p>
        </w:tc>
      </w:tr>
      <w:tr w:rsidR="00881714" w:rsidRPr="00881714" w14:paraId="1A47049C" w14:textId="77777777" w:rsidTr="0029160A">
        <w:tc>
          <w:tcPr>
            <w:tcW w:w="3256" w:type="dxa"/>
            <w:shd w:val="clear" w:color="auto" w:fill="F2F2F2" w:themeFill="background1" w:themeFillShade="F2"/>
          </w:tcPr>
          <w:p w14:paraId="7BD42367" w14:textId="77777777" w:rsidR="003A7DAE" w:rsidRPr="00881714" w:rsidRDefault="003A7DAE" w:rsidP="00ED69E6">
            <w:pPr>
              <w:rPr>
                <w:rFonts w:asciiTheme="minorHAnsi" w:hAnsiTheme="minorHAnsi" w:cstheme="minorHAnsi"/>
                <w:b/>
                <w:color w:val="auto"/>
              </w:rPr>
            </w:pPr>
            <w:r w:rsidRPr="00881714">
              <w:rPr>
                <w:rFonts w:asciiTheme="minorHAnsi" w:hAnsiTheme="minorHAnsi" w:cstheme="minorHAnsi"/>
                <w:b/>
                <w:color w:val="auto"/>
              </w:rPr>
              <w:t xml:space="preserve">Email </w:t>
            </w:r>
          </w:p>
        </w:tc>
        <w:tc>
          <w:tcPr>
            <w:tcW w:w="5778" w:type="dxa"/>
          </w:tcPr>
          <w:p w14:paraId="4D06D5DB" w14:textId="5617A28D" w:rsidR="003A7DAE" w:rsidRPr="00881714" w:rsidRDefault="006B2AF2" w:rsidP="00ED69E6">
            <w:pPr>
              <w:rPr>
                <w:rFonts w:asciiTheme="minorHAnsi" w:hAnsiTheme="minorHAnsi" w:cstheme="minorHAnsi"/>
                <w:color w:val="auto"/>
              </w:rPr>
            </w:pPr>
            <w:r w:rsidRPr="00881714">
              <w:rPr>
                <w:rFonts w:asciiTheme="minorHAnsi" w:hAnsiTheme="minorHAnsi" w:cstheme="minorHAnsi"/>
                <w:color w:val="auto"/>
              </w:rPr>
              <w:t>lab69@leicester.ac.uk</w:t>
            </w:r>
          </w:p>
        </w:tc>
      </w:tr>
    </w:tbl>
    <w:p w14:paraId="3188842D" w14:textId="77777777" w:rsidR="00066C81" w:rsidRPr="00881714" w:rsidRDefault="00066C81" w:rsidP="00066C81">
      <w:pPr>
        <w:spacing w:after="0" w:line="240" w:lineRule="auto"/>
        <w:rPr>
          <w:rFonts w:asciiTheme="minorHAnsi" w:hAnsiTheme="minorHAnsi" w:cstheme="minorHAnsi"/>
          <w:color w:val="auto"/>
        </w:rPr>
      </w:pPr>
    </w:p>
    <w:tbl>
      <w:tblPr>
        <w:tblStyle w:val="TableGrid"/>
        <w:tblW w:w="9034" w:type="dxa"/>
        <w:tblLayout w:type="fixed"/>
        <w:tblLook w:val="04A0" w:firstRow="1" w:lastRow="0" w:firstColumn="1" w:lastColumn="0" w:noHBand="0" w:noVBand="1"/>
      </w:tblPr>
      <w:tblGrid>
        <w:gridCol w:w="3256"/>
        <w:gridCol w:w="5778"/>
      </w:tblGrid>
      <w:tr w:rsidR="00881714" w:rsidRPr="00881714" w14:paraId="48BAF998" w14:textId="77777777" w:rsidTr="00066C81">
        <w:tc>
          <w:tcPr>
            <w:tcW w:w="3256" w:type="dxa"/>
            <w:shd w:val="clear" w:color="auto" w:fill="F2F2F2" w:themeFill="background1" w:themeFillShade="F2"/>
          </w:tcPr>
          <w:p w14:paraId="5D439254" w14:textId="77777777" w:rsidR="00066C81" w:rsidRPr="00881714" w:rsidRDefault="00066C81" w:rsidP="00ED69E6">
            <w:pPr>
              <w:rPr>
                <w:rFonts w:asciiTheme="minorHAnsi" w:hAnsiTheme="minorHAnsi" w:cstheme="minorHAnsi"/>
                <w:b/>
                <w:color w:val="auto"/>
              </w:rPr>
            </w:pPr>
            <w:r w:rsidRPr="00881714">
              <w:rPr>
                <w:rFonts w:asciiTheme="minorHAnsi" w:hAnsiTheme="minorHAnsi" w:cstheme="minorHAnsi"/>
                <w:b/>
                <w:color w:val="auto"/>
              </w:rPr>
              <w:t>Additional Supervisor</w:t>
            </w:r>
          </w:p>
        </w:tc>
        <w:tc>
          <w:tcPr>
            <w:tcW w:w="5778" w:type="dxa"/>
          </w:tcPr>
          <w:p w14:paraId="04519482" w14:textId="63C3F0DC" w:rsidR="00066C81" w:rsidRPr="00881714" w:rsidRDefault="00066C81" w:rsidP="00ED69E6">
            <w:pPr>
              <w:rPr>
                <w:rFonts w:asciiTheme="minorHAnsi" w:hAnsiTheme="minorHAnsi" w:cstheme="minorHAnsi"/>
                <w:color w:val="auto"/>
              </w:rPr>
            </w:pPr>
          </w:p>
        </w:tc>
      </w:tr>
    </w:tbl>
    <w:p w14:paraId="4806292A" w14:textId="77777777" w:rsidR="00066C81" w:rsidRPr="00881714" w:rsidRDefault="00066C81" w:rsidP="00066C81">
      <w:pPr>
        <w:spacing w:after="0" w:line="240" w:lineRule="auto"/>
        <w:rPr>
          <w:rFonts w:asciiTheme="minorHAnsi" w:hAnsiTheme="minorHAnsi" w:cstheme="minorHAnsi"/>
          <w:b/>
          <w:color w:val="auto"/>
          <w:u w:val="single"/>
        </w:rPr>
      </w:pPr>
    </w:p>
    <w:p w14:paraId="2F660E25" w14:textId="77777777" w:rsidR="00066C81" w:rsidRPr="00881714" w:rsidRDefault="00066C81" w:rsidP="00066C81">
      <w:pPr>
        <w:spacing w:after="0" w:line="240" w:lineRule="auto"/>
        <w:rPr>
          <w:rFonts w:asciiTheme="minorHAnsi" w:hAnsiTheme="minorHAnsi" w:cstheme="minorHAnsi"/>
          <w:b/>
          <w:i/>
          <w:color w:val="auto"/>
        </w:rPr>
      </w:pPr>
      <w:r w:rsidRPr="00881714">
        <w:rPr>
          <w:rFonts w:asciiTheme="minorHAnsi" w:hAnsiTheme="minorHAnsi" w:cstheme="minorHAnsi"/>
          <w:b/>
          <w:color w:val="auto"/>
        </w:rPr>
        <w:t xml:space="preserve">Section 2 – </w:t>
      </w:r>
      <w:r w:rsidRPr="00881714">
        <w:rPr>
          <w:rFonts w:asciiTheme="minorHAnsi" w:hAnsiTheme="minorHAnsi" w:cstheme="minorHAnsi"/>
          <w:b/>
          <w:i/>
          <w:color w:val="auto"/>
        </w:rPr>
        <w:t>Project Information</w:t>
      </w:r>
    </w:p>
    <w:tbl>
      <w:tblPr>
        <w:tblStyle w:val="TableGrid"/>
        <w:tblW w:w="0" w:type="auto"/>
        <w:tblLook w:val="04A0" w:firstRow="1" w:lastRow="0" w:firstColumn="1" w:lastColumn="0" w:noHBand="0" w:noVBand="1"/>
      </w:tblPr>
      <w:tblGrid>
        <w:gridCol w:w="1980"/>
        <w:gridCol w:w="7036"/>
      </w:tblGrid>
      <w:tr w:rsidR="00881714" w:rsidRPr="00881714" w14:paraId="6E42E9E7" w14:textId="77777777" w:rsidTr="00ED69E6">
        <w:tc>
          <w:tcPr>
            <w:tcW w:w="1980" w:type="dxa"/>
            <w:shd w:val="clear" w:color="auto" w:fill="F2F2F2" w:themeFill="background1" w:themeFillShade="F2"/>
          </w:tcPr>
          <w:p w14:paraId="79396BC4" w14:textId="77777777" w:rsidR="00066C81" w:rsidRPr="00881714" w:rsidRDefault="00066C81" w:rsidP="00ED69E6">
            <w:pPr>
              <w:rPr>
                <w:rFonts w:asciiTheme="minorHAnsi" w:hAnsiTheme="minorHAnsi" w:cstheme="minorHAnsi"/>
                <w:b/>
                <w:color w:val="auto"/>
              </w:rPr>
            </w:pPr>
            <w:r w:rsidRPr="00881714">
              <w:rPr>
                <w:rFonts w:asciiTheme="minorHAnsi" w:hAnsiTheme="minorHAnsi" w:cstheme="minorHAnsi"/>
                <w:b/>
                <w:color w:val="auto"/>
              </w:rPr>
              <w:t>Project Title</w:t>
            </w:r>
          </w:p>
          <w:p w14:paraId="2AE8459A" w14:textId="77777777" w:rsidR="00066C81" w:rsidRPr="00881714" w:rsidRDefault="00066C81" w:rsidP="00ED69E6">
            <w:pPr>
              <w:rPr>
                <w:rFonts w:asciiTheme="minorHAnsi" w:hAnsiTheme="minorHAnsi" w:cstheme="minorHAnsi"/>
                <w:b/>
                <w:color w:val="auto"/>
              </w:rPr>
            </w:pPr>
          </w:p>
        </w:tc>
        <w:tc>
          <w:tcPr>
            <w:tcW w:w="7036" w:type="dxa"/>
          </w:tcPr>
          <w:p w14:paraId="1AE60F62" w14:textId="77777777" w:rsidR="007B76D0" w:rsidRPr="00881714" w:rsidRDefault="007B76D0" w:rsidP="007B76D0">
            <w:pPr>
              <w:textAlignment w:val="baseline"/>
              <w:rPr>
                <w:rFonts w:asciiTheme="minorHAnsi" w:hAnsiTheme="minorHAnsi" w:cstheme="minorHAnsi"/>
                <w:b/>
                <w:bCs/>
                <w:color w:val="auto"/>
              </w:rPr>
            </w:pPr>
            <w:r w:rsidRPr="00881714">
              <w:rPr>
                <w:rFonts w:asciiTheme="minorHAnsi" w:hAnsiTheme="minorHAnsi" w:cstheme="minorHAnsi"/>
                <w:b/>
                <w:bCs/>
                <w:color w:val="auto"/>
              </w:rPr>
              <w:t>The effect of glucagon-like peptide-1 receptor agonists on exercise adaptation</w:t>
            </w:r>
          </w:p>
          <w:p w14:paraId="2BC2E11D" w14:textId="715319F1" w:rsidR="00066C81" w:rsidRPr="00881714" w:rsidRDefault="00066C81" w:rsidP="00ED69E6">
            <w:pPr>
              <w:rPr>
                <w:rFonts w:asciiTheme="minorHAnsi" w:hAnsiTheme="minorHAnsi" w:cstheme="minorHAnsi"/>
                <w:color w:val="auto"/>
              </w:rPr>
            </w:pPr>
          </w:p>
        </w:tc>
      </w:tr>
      <w:tr w:rsidR="00881714" w:rsidRPr="00881714" w14:paraId="4C9CB2BA" w14:textId="77777777" w:rsidTr="00ED69E6">
        <w:tc>
          <w:tcPr>
            <w:tcW w:w="9016" w:type="dxa"/>
            <w:gridSpan w:val="2"/>
            <w:shd w:val="clear" w:color="auto" w:fill="F2F2F2" w:themeFill="background1" w:themeFillShade="F2"/>
          </w:tcPr>
          <w:p w14:paraId="3D17942F" w14:textId="77777777" w:rsidR="00066C81" w:rsidRPr="00881714" w:rsidRDefault="00066C81" w:rsidP="00066C81">
            <w:pPr>
              <w:rPr>
                <w:rFonts w:asciiTheme="minorHAnsi" w:hAnsiTheme="minorHAnsi" w:cstheme="minorHAnsi"/>
                <w:color w:val="auto"/>
              </w:rPr>
            </w:pPr>
            <w:r w:rsidRPr="00881714">
              <w:rPr>
                <w:rFonts w:asciiTheme="minorHAnsi" w:hAnsiTheme="minorHAnsi" w:cstheme="minorHAnsi"/>
                <w:b/>
                <w:color w:val="auto"/>
                <w:highlight w:val="lightGray"/>
              </w:rPr>
              <w:t>Project Summary</w:t>
            </w:r>
            <w:r w:rsidRPr="00881714">
              <w:rPr>
                <w:rFonts w:asciiTheme="minorHAnsi" w:hAnsiTheme="minorHAnsi" w:cstheme="minorHAnsi"/>
                <w:b/>
                <w:color w:val="auto"/>
              </w:rPr>
              <w:t xml:space="preserve"> </w:t>
            </w:r>
          </w:p>
        </w:tc>
      </w:tr>
      <w:tr w:rsidR="00881714" w:rsidRPr="00881714" w14:paraId="51FA071A" w14:textId="77777777" w:rsidTr="00ED69E6">
        <w:tc>
          <w:tcPr>
            <w:tcW w:w="9016" w:type="dxa"/>
            <w:gridSpan w:val="2"/>
          </w:tcPr>
          <w:p w14:paraId="20C8F021" w14:textId="77777777" w:rsidR="00066C81" w:rsidRPr="00881714" w:rsidRDefault="00066C81" w:rsidP="00E908FE">
            <w:pPr>
              <w:rPr>
                <w:rFonts w:asciiTheme="minorHAnsi" w:hAnsiTheme="minorHAnsi" w:cstheme="minorHAnsi"/>
                <w:i/>
                <w:color w:val="auto"/>
              </w:rPr>
            </w:pPr>
          </w:p>
          <w:p w14:paraId="0B5105FE" w14:textId="77777777" w:rsidR="007B76D0" w:rsidRPr="00881714" w:rsidRDefault="007B76D0" w:rsidP="007B76D0">
            <w:pPr>
              <w:textAlignment w:val="baseline"/>
              <w:rPr>
                <w:rFonts w:asciiTheme="minorHAnsi" w:eastAsia="Times New Roman" w:hAnsiTheme="minorHAnsi" w:cstheme="minorHAnsi"/>
                <w:i/>
                <w:iCs/>
                <w:color w:val="auto"/>
              </w:rPr>
            </w:pPr>
            <w:r w:rsidRPr="00881714">
              <w:rPr>
                <w:rFonts w:asciiTheme="minorHAnsi" w:eastAsia="Times New Roman" w:hAnsiTheme="minorHAnsi" w:cstheme="minorHAnsi"/>
                <w:i/>
                <w:iCs/>
                <w:color w:val="auto"/>
              </w:rPr>
              <w:t>Aim:  To understand the impact of GLP-1 RA therapy on skeletal muscle adaptation to exercise</w:t>
            </w:r>
          </w:p>
          <w:p w14:paraId="3E5F9A98" w14:textId="77777777" w:rsidR="007B76D0" w:rsidRPr="00881714" w:rsidRDefault="007B76D0" w:rsidP="007B76D0">
            <w:pPr>
              <w:textAlignment w:val="baseline"/>
              <w:rPr>
                <w:rFonts w:asciiTheme="minorHAnsi" w:eastAsia="Times New Roman" w:hAnsiTheme="minorHAnsi" w:cstheme="minorHAnsi"/>
                <w:i/>
                <w:iCs/>
                <w:color w:val="auto"/>
              </w:rPr>
            </w:pPr>
          </w:p>
          <w:p w14:paraId="74BA9155" w14:textId="77777777" w:rsidR="007B76D0" w:rsidRPr="00881714" w:rsidRDefault="007B76D0" w:rsidP="007B76D0">
            <w:pPr>
              <w:textAlignment w:val="baseline"/>
              <w:rPr>
                <w:rFonts w:asciiTheme="minorHAnsi" w:eastAsia="Times New Roman" w:hAnsiTheme="minorHAnsi" w:cstheme="minorHAnsi"/>
                <w:i/>
                <w:iCs/>
                <w:color w:val="auto"/>
              </w:rPr>
            </w:pPr>
            <w:r w:rsidRPr="00881714">
              <w:rPr>
                <w:rFonts w:asciiTheme="minorHAnsi" w:eastAsia="Times New Roman" w:hAnsiTheme="minorHAnsi" w:cstheme="minorHAnsi"/>
                <w:i/>
                <w:iCs/>
                <w:color w:val="auto"/>
              </w:rPr>
              <w:t xml:space="preserve">Background: </w:t>
            </w:r>
          </w:p>
          <w:p w14:paraId="34665B19" w14:textId="77777777" w:rsidR="007B76D0" w:rsidRPr="00881714" w:rsidRDefault="007B76D0" w:rsidP="007B76D0">
            <w:pPr>
              <w:textAlignment w:val="baseline"/>
              <w:rPr>
                <w:rFonts w:asciiTheme="minorHAnsi" w:eastAsia="Times New Roman" w:hAnsiTheme="minorHAnsi" w:cstheme="minorHAnsi"/>
                <w:i/>
                <w:iCs/>
                <w:color w:val="auto"/>
              </w:rPr>
            </w:pPr>
            <w:r w:rsidRPr="00881714">
              <w:rPr>
                <w:rFonts w:asciiTheme="minorHAnsi" w:hAnsiTheme="minorHAnsi" w:cstheme="minorHAnsi"/>
                <w:color w:val="auto"/>
              </w:rPr>
              <w:t xml:space="preserve">Obesity is a chronic disease associated with increased risk of multiple metabolic, and mental health related comorbidities. Recent advances in obesity pharmacotherapy, particularly glucagon-like peptide-1 (GLP-1) receptor agonists (RAs), have the potential to transform obesity and type 2 diabetes mellitus (T2DM) care by promoting marked weight loss, improving glycaemic control and addressing multiple obesity-related comorbidities, with added cardio-renal benefits. However, up to 40% of the weight lost with GLP-1 RAs comes from lean body mass, raising concerns about potential adverse effects on skeletal muscle function. It is likely that these drugs will be combined with lifestyle management including exercise delivery. It is therefore important to understand the interaction between these drugs and exercise. We have novel </w:t>
            </w:r>
            <w:r w:rsidRPr="00881714">
              <w:rPr>
                <w:rFonts w:asciiTheme="minorHAnsi" w:hAnsiTheme="minorHAnsi" w:cstheme="minorHAnsi"/>
                <w:i/>
                <w:iCs/>
                <w:color w:val="auto"/>
              </w:rPr>
              <w:t>in-vitro</w:t>
            </w:r>
            <w:r w:rsidRPr="00881714">
              <w:rPr>
                <w:rFonts w:asciiTheme="minorHAnsi" w:hAnsiTheme="minorHAnsi" w:cstheme="minorHAnsi"/>
                <w:color w:val="auto"/>
              </w:rPr>
              <w:t xml:space="preserve"> data emerging from our laboratory to show that a range of GLP-1 RAs not only result in significant muscle atrophy, but also negatively impair skeletal muscle mitochondrial function. This may have important consequences for the ability of an individual to engage in an exercise programme and the benefits they are able to receive if effects persist. </w:t>
            </w:r>
          </w:p>
          <w:p w14:paraId="55C1933D" w14:textId="77777777" w:rsidR="007B76D0" w:rsidRPr="00881714" w:rsidRDefault="007B76D0" w:rsidP="007B76D0">
            <w:pPr>
              <w:textAlignment w:val="baseline"/>
              <w:rPr>
                <w:rFonts w:asciiTheme="minorHAnsi" w:eastAsia="Times New Roman" w:hAnsiTheme="minorHAnsi" w:cstheme="minorHAnsi"/>
                <w:i/>
                <w:iCs/>
                <w:color w:val="auto"/>
              </w:rPr>
            </w:pPr>
          </w:p>
          <w:p w14:paraId="7E3A7E19" w14:textId="77777777" w:rsidR="007B76D0" w:rsidRPr="00881714" w:rsidRDefault="007B76D0" w:rsidP="007B76D0">
            <w:pPr>
              <w:textAlignment w:val="baseline"/>
              <w:rPr>
                <w:rFonts w:asciiTheme="minorHAnsi" w:eastAsia="Times New Roman" w:hAnsiTheme="minorHAnsi" w:cstheme="minorHAnsi"/>
                <w:i/>
                <w:iCs/>
                <w:color w:val="auto"/>
              </w:rPr>
            </w:pPr>
            <w:r w:rsidRPr="00881714">
              <w:rPr>
                <w:rFonts w:asciiTheme="minorHAnsi" w:eastAsia="Times New Roman" w:hAnsiTheme="minorHAnsi" w:cstheme="minorHAnsi"/>
                <w:i/>
                <w:iCs/>
                <w:color w:val="auto"/>
              </w:rPr>
              <w:t xml:space="preserve">Methods:  </w:t>
            </w:r>
          </w:p>
          <w:p w14:paraId="2504775A" w14:textId="77777777" w:rsidR="007B76D0" w:rsidRPr="00881714" w:rsidRDefault="007B76D0" w:rsidP="007B76D0">
            <w:pPr>
              <w:textAlignment w:val="baseline"/>
              <w:rPr>
                <w:rFonts w:asciiTheme="minorHAnsi" w:eastAsia="Times New Roman" w:hAnsiTheme="minorHAnsi" w:cstheme="minorHAnsi"/>
                <w:color w:val="auto"/>
              </w:rPr>
            </w:pPr>
            <w:r w:rsidRPr="00881714">
              <w:rPr>
                <w:rFonts w:asciiTheme="minorHAnsi" w:eastAsia="Times New Roman" w:hAnsiTheme="minorHAnsi" w:cstheme="minorHAnsi"/>
                <w:color w:val="auto"/>
              </w:rPr>
              <w:t xml:space="preserve">This project will utilise a combination of </w:t>
            </w:r>
            <w:r w:rsidRPr="00881714">
              <w:rPr>
                <w:rFonts w:asciiTheme="minorHAnsi" w:eastAsia="Times New Roman" w:hAnsiTheme="minorHAnsi" w:cstheme="minorHAnsi"/>
                <w:i/>
                <w:iCs/>
                <w:color w:val="auto"/>
              </w:rPr>
              <w:t>in-vitro</w:t>
            </w:r>
            <w:r w:rsidRPr="00881714">
              <w:rPr>
                <w:rFonts w:asciiTheme="minorHAnsi" w:eastAsia="Times New Roman" w:hAnsiTheme="minorHAnsi" w:cstheme="minorHAnsi"/>
                <w:color w:val="auto"/>
              </w:rPr>
              <w:t xml:space="preserve"> models of exercise and </w:t>
            </w:r>
            <w:r w:rsidRPr="00881714">
              <w:rPr>
                <w:rFonts w:asciiTheme="minorHAnsi" w:eastAsia="Times New Roman" w:hAnsiTheme="minorHAnsi" w:cstheme="minorHAnsi"/>
                <w:i/>
                <w:iCs/>
                <w:color w:val="auto"/>
              </w:rPr>
              <w:t>ex-vivo</w:t>
            </w:r>
            <w:r w:rsidRPr="00881714">
              <w:rPr>
                <w:rFonts w:asciiTheme="minorHAnsi" w:eastAsia="Times New Roman" w:hAnsiTheme="minorHAnsi" w:cstheme="minorHAnsi"/>
                <w:color w:val="auto"/>
              </w:rPr>
              <w:t xml:space="preserve"> biopsy analysis. We will use primary skeletal muscle cells from people with obesity to understand how a number of different GLP-1 RAs (e.g. </w:t>
            </w:r>
            <w:proofErr w:type="spellStart"/>
            <w:r w:rsidRPr="00881714">
              <w:rPr>
                <w:rFonts w:asciiTheme="minorHAnsi" w:eastAsia="Times New Roman" w:hAnsiTheme="minorHAnsi" w:cstheme="minorHAnsi"/>
                <w:color w:val="auto"/>
              </w:rPr>
              <w:t>semaglutide</w:t>
            </w:r>
            <w:proofErr w:type="spellEnd"/>
            <w:r w:rsidRPr="00881714">
              <w:rPr>
                <w:rFonts w:asciiTheme="minorHAnsi" w:eastAsia="Times New Roman" w:hAnsiTheme="minorHAnsi" w:cstheme="minorHAnsi"/>
                <w:color w:val="auto"/>
              </w:rPr>
              <w:t xml:space="preserve">, </w:t>
            </w:r>
            <w:proofErr w:type="spellStart"/>
            <w:r w:rsidRPr="00881714">
              <w:rPr>
                <w:rFonts w:asciiTheme="minorHAnsi" w:eastAsia="Times New Roman" w:hAnsiTheme="minorHAnsi" w:cstheme="minorHAnsi"/>
                <w:color w:val="auto"/>
              </w:rPr>
              <w:t>trizepatide</w:t>
            </w:r>
            <w:proofErr w:type="spellEnd"/>
            <w:r w:rsidRPr="00881714">
              <w:rPr>
                <w:rFonts w:asciiTheme="minorHAnsi" w:eastAsia="Times New Roman" w:hAnsiTheme="minorHAnsi" w:cstheme="minorHAnsi"/>
                <w:color w:val="auto"/>
              </w:rPr>
              <w:t xml:space="preserve"> or </w:t>
            </w:r>
            <w:proofErr w:type="spellStart"/>
            <w:r w:rsidRPr="00881714">
              <w:rPr>
                <w:rFonts w:asciiTheme="minorHAnsi" w:eastAsia="Times New Roman" w:hAnsiTheme="minorHAnsi" w:cstheme="minorHAnsi"/>
                <w:color w:val="auto"/>
              </w:rPr>
              <w:t>cagrilintide</w:t>
            </w:r>
            <w:proofErr w:type="spellEnd"/>
            <w:r w:rsidRPr="00881714">
              <w:rPr>
                <w:rFonts w:asciiTheme="minorHAnsi" w:eastAsia="Times New Roman" w:hAnsiTheme="minorHAnsi" w:cstheme="minorHAnsi"/>
                <w:color w:val="auto"/>
              </w:rPr>
              <w:t>) affect the response to simulated exercise. We will also utilise the on-going opal trial to collect muscle biopsies from the following time points with participants used as their own control:</w:t>
            </w:r>
          </w:p>
          <w:p w14:paraId="37636B52" w14:textId="77777777" w:rsidR="007B76D0" w:rsidRPr="00881714" w:rsidRDefault="007B76D0" w:rsidP="007B76D0">
            <w:pPr>
              <w:pStyle w:val="ListParagraph"/>
              <w:numPr>
                <w:ilvl w:val="0"/>
                <w:numId w:val="9"/>
              </w:numPr>
              <w:textAlignment w:val="baseline"/>
              <w:rPr>
                <w:rFonts w:asciiTheme="minorHAnsi" w:eastAsia="Times New Roman" w:hAnsiTheme="minorHAnsi" w:cstheme="minorHAnsi"/>
                <w:color w:val="auto"/>
              </w:rPr>
            </w:pPr>
            <w:r w:rsidRPr="00881714">
              <w:rPr>
                <w:rFonts w:asciiTheme="minorHAnsi" w:eastAsia="Times New Roman" w:hAnsiTheme="minorHAnsi" w:cstheme="minorHAnsi"/>
                <w:color w:val="auto"/>
              </w:rPr>
              <w:t>Baseline</w:t>
            </w:r>
          </w:p>
          <w:p w14:paraId="7C190865" w14:textId="77777777" w:rsidR="007B76D0" w:rsidRPr="00881714" w:rsidRDefault="007B76D0" w:rsidP="007B76D0">
            <w:pPr>
              <w:pStyle w:val="ListParagraph"/>
              <w:numPr>
                <w:ilvl w:val="0"/>
                <w:numId w:val="9"/>
              </w:numPr>
              <w:textAlignment w:val="baseline"/>
              <w:rPr>
                <w:rFonts w:asciiTheme="minorHAnsi" w:eastAsia="Times New Roman" w:hAnsiTheme="minorHAnsi" w:cstheme="minorHAnsi"/>
                <w:color w:val="auto"/>
              </w:rPr>
            </w:pPr>
            <w:r w:rsidRPr="00881714">
              <w:rPr>
                <w:rFonts w:asciiTheme="minorHAnsi" w:eastAsia="Times New Roman" w:hAnsiTheme="minorHAnsi" w:cstheme="minorHAnsi"/>
                <w:color w:val="auto"/>
              </w:rPr>
              <w:t>24h post exercise prior to drug administration. This will provide information on the acute response to exercise before training</w:t>
            </w:r>
          </w:p>
          <w:p w14:paraId="67640233" w14:textId="77777777" w:rsidR="007B76D0" w:rsidRPr="00881714" w:rsidRDefault="007B76D0" w:rsidP="007B76D0">
            <w:pPr>
              <w:pStyle w:val="ListParagraph"/>
              <w:numPr>
                <w:ilvl w:val="0"/>
                <w:numId w:val="9"/>
              </w:numPr>
              <w:textAlignment w:val="baseline"/>
              <w:rPr>
                <w:rFonts w:asciiTheme="minorHAnsi" w:eastAsia="Times New Roman" w:hAnsiTheme="minorHAnsi" w:cstheme="minorHAnsi"/>
                <w:color w:val="auto"/>
              </w:rPr>
            </w:pPr>
            <w:r w:rsidRPr="00881714">
              <w:rPr>
                <w:rFonts w:asciiTheme="minorHAnsi" w:eastAsia="Times New Roman" w:hAnsiTheme="minorHAnsi" w:cstheme="minorHAnsi"/>
                <w:color w:val="auto"/>
              </w:rPr>
              <w:t>24h post exercise after receiving the drug for 1 week. This will provide information on how the GLP-1 RA has affected this acute exercise response</w:t>
            </w:r>
          </w:p>
          <w:p w14:paraId="02B553F2" w14:textId="77777777" w:rsidR="007B76D0" w:rsidRPr="00881714" w:rsidRDefault="007B76D0" w:rsidP="007B76D0">
            <w:pPr>
              <w:pStyle w:val="ListParagraph"/>
              <w:numPr>
                <w:ilvl w:val="0"/>
                <w:numId w:val="9"/>
              </w:numPr>
              <w:textAlignment w:val="baseline"/>
              <w:rPr>
                <w:rFonts w:asciiTheme="minorHAnsi" w:eastAsia="Times New Roman" w:hAnsiTheme="minorHAnsi" w:cstheme="minorHAnsi"/>
                <w:color w:val="auto"/>
              </w:rPr>
            </w:pPr>
            <w:r w:rsidRPr="00881714">
              <w:rPr>
                <w:rFonts w:asciiTheme="minorHAnsi" w:eastAsia="Times New Roman" w:hAnsiTheme="minorHAnsi" w:cstheme="minorHAnsi"/>
                <w:color w:val="auto"/>
              </w:rPr>
              <w:t xml:space="preserve">24h post exercise at the end of the exercise training period. This will provide information about how regular exercise training has modified this acute response to exercise. </w:t>
            </w:r>
          </w:p>
          <w:p w14:paraId="0162103C" w14:textId="77777777" w:rsidR="007B76D0" w:rsidRPr="00881714" w:rsidRDefault="007B76D0" w:rsidP="007B76D0">
            <w:pPr>
              <w:textAlignment w:val="baseline"/>
              <w:rPr>
                <w:rFonts w:asciiTheme="minorHAnsi" w:eastAsia="Times New Roman" w:hAnsiTheme="minorHAnsi" w:cstheme="minorHAnsi"/>
                <w:i/>
                <w:iCs/>
                <w:color w:val="auto"/>
              </w:rPr>
            </w:pPr>
          </w:p>
          <w:p w14:paraId="2A156C72" w14:textId="77777777" w:rsidR="007B76D0" w:rsidRPr="00881714" w:rsidRDefault="007B76D0" w:rsidP="007B76D0">
            <w:pPr>
              <w:textAlignment w:val="baseline"/>
              <w:rPr>
                <w:rFonts w:asciiTheme="minorHAnsi" w:eastAsia="Times New Roman" w:hAnsiTheme="minorHAnsi" w:cstheme="minorHAnsi"/>
                <w:color w:val="auto"/>
              </w:rPr>
            </w:pPr>
            <w:r w:rsidRPr="00881714">
              <w:rPr>
                <w:rFonts w:asciiTheme="minorHAnsi" w:eastAsia="Times New Roman" w:hAnsiTheme="minorHAnsi" w:cstheme="minorHAnsi"/>
                <w:i/>
                <w:iCs/>
                <w:color w:val="auto"/>
              </w:rPr>
              <w:lastRenderedPageBreak/>
              <w:t>Expected outcomes and impact:</w:t>
            </w:r>
            <w:r w:rsidRPr="00881714">
              <w:rPr>
                <w:rFonts w:asciiTheme="minorHAnsi" w:eastAsia="Times New Roman" w:hAnsiTheme="minorHAnsi" w:cstheme="minorHAnsi"/>
                <w:color w:val="auto"/>
              </w:rPr>
              <w:t xml:space="preserve"> A clearer understanding of the interaction between GLP-1 RAs and the acute and chronic skeletal muscle response to exercise. This project offers significant impact in a novel and fast-moving field. Prescription rates of these drugs are on an upward trajectory and have become an integral part of obesity care along with more traditional diet and lifestyle interventions. The data from this study will help inform the way in which these drugs are used in combination with these traditional therapies informing and potentially changing clinical practice.</w:t>
            </w:r>
          </w:p>
          <w:p w14:paraId="12EE270E" w14:textId="77777777" w:rsidR="007B76D0" w:rsidRPr="00881714" w:rsidRDefault="007B76D0" w:rsidP="007B76D0">
            <w:pPr>
              <w:textAlignment w:val="baseline"/>
              <w:rPr>
                <w:rFonts w:asciiTheme="minorHAnsi" w:eastAsia="Times New Roman" w:hAnsiTheme="minorHAnsi" w:cstheme="minorHAnsi"/>
                <w:color w:val="auto"/>
              </w:rPr>
            </w:pPr>
          </w:p>
          <w:p w14:paraId="52EFBB87" w14:textId="7E1FB0A7" w:rsidR="006B2AF2" w:rsidRPr="00881714" w:rsidRDefault="006B2AF2" w:rsidP="007B76D0">
            <w:pPr>
              <w:textAlignment w:val="baseline"/>
              <w:rPr>
                <w:rFonts w:asciiTheme="minorHAnsi" w:hAnsiTheme="minorHAnsi" w:cstheme="minorHAnsi"/>
                <w:b/>
                <w:color w:val="auto"/>
              </w:rPr>
            </w:pPr>
          </w:p>
        </w:tc>
      </w:tr>
    </w:tbl>
    <w:p w14:paraId="7FEF6135" w14:textId="77777777" w:rsidR="00066C81" w:rsidRPr="00EE411E" w:rsidRDefault="00066C81" w:rsidP="00066C81">
      <w:pPr>
        <w:spacing w:after="0" w:line="240" w:lineRule="auto"/>
        <w:rPr>
          <w:rFonts w:asciiTheme="minorHAnsi" w:hAnsiTheme="minorHAnsi" w:cstheme="minorHAnsi"/>
          <w:b/>
          <w:u w:val="single"/>
        </w:rPr>
      </w:pPr>
    </w:p>
    <w:p w14:paraId="1D713C9F" w14:textId="77777777" w:rsidR="00066C81" w:rsidRPr="00EE411E" w:rsidRDefault="00066C81" w:rsidP="00066C81">
      <w:pPr>
        <w:spacing w:after="0" w:line="240" w:lineRule="auto"/>
        <w:rPr>
          <w:rFonts w:asciiTheme="minorHAnsi" w:hAnsiTheme="minorHAnsi" w:cstheme="minorHAnsi"/>
          <w:b/>
          <w:bCs/>
        </w:rPr>
      </w:pPr>
    </w:p>
    <w:sectPr w:rsidR="00066C81" w:rsidRPr="00EE411E"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69C5"/>
    <w:multiLevelType w:val="hybridMultilevel"/>
    <w:tmpl w:val="CADCEF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A63742D"/>
    <w:multiLevelType w:val="hybridMultilevel"/>
    <w:tmpl w:val="2656066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F6E0911"/>
    <w:multiLevelType w:val="hybridMultilevel"/>
    <w:tmpl w:val="F42037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122114"/>
    <w:multiLevelType w:val="hybridMultilevel"/>
    <w:tmpl w:val="FCDE86A0"/>
    <w:lvl w:ilvl="0" w:tplc="5CAE1380">
      <w:start w:val="1"/>
      <w:numFmt w:val="bullet"/>
      <w:lvlText w:val=""/>
      <w:lvlJc w:val="left"/>
      <w:pPr>
        <w:ind w:left="1434" w:hanging="360"/>
      </w:pPr>
      <w:rPr>
        <w:rFonts w:ascii="Symbol" w:hAnsi="Symbol" w:hint="default"/>
        <w:color w:val="auto"/>
      </w:rPr>
    </w:lvl>
    <w:lvl w:ilvl="1" w:tplc="08090003">
      <w:start w:val="1"/>
      <w:numFmt w:val="bullet"/>
      <w:lvlText w:val="o"/>
      <w:lvlJc w:val="left"/>
      <w:pPr>
        <w:ind w:left="2154" w:hanging="360"/>
      </w:pPr>
      <w:rPr>
        <w:rFonts w:ascii="Courier New" w:hAnsi="Courier New" w:cs="Courier New" w:hint="default"/>
      </w:rPr>
    </w:lvl>
    <w:lvl w:ilvl="2" w:tplc="08090005">
      <w:start w:val="1"/>
      <w:numFmt w:val="bullet"/>
      <w:lvlText w:val=""/>
      <w:lvlJc w:val="left"/>
      <w:pPr>
        <w:ind w:left="2874" w:hanging="360"/>
      </w:pPr>
      <w:rPr>
        <w:rFonts w:ascii="Wingdings" w:hAnsi="Wingdings" w:hint="default"/>
      </w:rPr>
    </w:lvl>
    <w:lvl w:ilvl="3" w:tplc="08090001">
      <w:start w:val="1"/>
      <w:numFmt w:val="bullet"/>
      <w:lvlText w:val=""/>
      <w:lvlJc w:val="left"/>
      <w:pPr>
        <w:ind w:left="3594" w:hanging="360"/>
      </w:pPr>
      <w:rPr>
        <w:rFonts w:ascii="Symbol" w:hAnsi="Symbol" w:hint="default"/>
      </w:rPr>
    </w:lvl>
    <w:lvl w:ilvl="4" w:tplc="08090003">
      <w:start w:val="1"/>
      <w:numFmt w:val="bullet"/>
      <w:lvlText w:val="o"/>
      <w:lvlJc w:val="left"/>
      <w:pPr>
        <w:ind w:left="4314" w:hanging="360"/>
      </w:pPr>
      <w:rPr>
        <w:rFonts w:ascii="Courier New" w:hAnsi="Courier New" w:cs="Courier New" w:hint="default"/>
      </w:rPr>
    </w:lvl>
    <w:lvl w:ilvl="5" w:tplc="08090005">
      <w:start w:val="1"/>
      <w:numFmt w:val="bullet"/>
      <w:lvlText w:val=""/>
      <w:lvlJc w:val="left"/>
      <w:pPr>
        <w:ind w:left="5034" w:hanging="360"/>
      </w:pPr>
      <w:rPr>
        <w:rFonts w:ascii="Wingdings" w:hAnsi="Wingdings" w:hint="default"/>
      </w:rPr>
    </w:lvl>
    <w:lvl w:ilvl="6" w:tplc="08090001">
      <w:start w:val="1"/>
      <w:numFmt w:val="bullet"/>
      <w:lvlText w:val=""/>
      <w:lvlJc w:val="left"/>
      <w:pPr>
        <w:ind w:left="5754" w:hanging="360"/>
      </w:pPr>
      <w:rPr>
        <w:rFonts w:ascii="Symbol" w:hAnsi="Symbol" w:hint="default"/>
      </w:rPr>
    </w:lvl>
    <w:lvl w:ilvl="7" w:tplc="08090003">
      <w:start w:val="1"/>
      <w:numFmt w:val="bullet"/>
      <w:lvlText w:val="o"/>
      <w:lvlJc w:val="left"/>
      <w:pPr>
        <w:ind w:left="6474" w:hanging="360"/>
      </w:pPr>
      <w:rPr>
        <w:rFonts w:ascii="Courier New" w:hAnsi="Courier New" w:cs="Courier New" w:hint="default"/>
      </w:rPr>
    </w:lvl>
    <w:lvl w:ilvl="8" w:tplc="08090005">
      <w:start w:val="1"/>
      <w:numFmt w:val="bullet"/>
      <w:lvlText w:val=""/>
      <w:lvlJc w:val="left"/>
      <w:pPr>
        <w:ind w:left="7194" w:hanging="360"/>
      </w:pPr>
      <w:rPr>
        <w:rFonts w:ascii="Wingdings" w:hAnsi="Wingdings" w:hint="default"/>
      </w:rPr>
    </w:lvl>
  </w:abstractNum>
  <w:abstractNum w:abstractNumId="5" w15:restartNumberingAfterBreak="0">
    <w:nsid w:val="5A2C07F2"/>
    <w:multiLevelType w:val="hybridMultilevel"/>
    <w:tmpl w:val="0E40E9D2"/>
    <w:lvl w:ilvl="0" w:tplc="39E221B8">
      <w:start w:val="1"/>
      <w:numFmt w:val="decimal"/>
      <w:lvlText w:val="%1."/>
      <w:lvlJc w:val="left"/>
      <w:pPr>
        <w:ind w:left="360" w:hanging="360"/>
      </w:pPr>
      <w:rPr>
        <w:rFonts w:eastAsia="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64365A0"/>
    <w:multiLevelType w:val="hybridMultilevel"/>
    <w:tmpl w:val="BA700820"/>
    <w:lvl w:ilvl="0" w:tplc="4FB42250">
      <w:start w:val="2"/>
      <w:numFmt w:val="decimal"/>
      <w:lvlText w:val="%1."/>
      <w:lvlJc w:val="left"/>
      <w:pPr>
        <w:ind w:left="0" w:hanging="720"/>
        <w:jc w:val="left"/>
      </w:pPr>
      <w:rPr>
        <w:rFonts w:ascii="Calibri" w:eastAsia="Calibri" w:hAnsi="Calibri" w:cs="Calibri" w:hint="default"/>
        <w:b w:val="0"/>
        <w:bCs w:val="0"/>
        <w:i w:val="0"/>
        <w:iCs w:val="0"/>
        <w:spacing w:val="-1"/>
        <w:w w:val="100"/>
        <w:sz w:val="22"/>
        <w:szCs w:val="22"/>
        <w:lang w:val="en-US" w:eastAsia="en-US" w:bidi="ar-SA"/>
      </w:rPr>
    </w:lvl>
    <w:lvl w:ilvl="1" w:tplc="B9D4A91E">
      <w:numFmt w:val="bullet"/>
      <w:lvlText w:val="•"/>
      <w:lvlJc w:val="left"/>
      <w:pPr>
        <w:ind w:left="907" w:hanging="720"/>
      </w:pPr>
      <w:rPr>
        <w:rFonts w:hint="default"/>
        <w:lang w:val="en-US" w:eastAsia="en-US" w:bidi="ar-SA"/>
      </w:rPr>
    </w:lvl>
    <w:lvl w:ilvl="2" w:tplc="705AA274">
      <w:numFmt w:val="bullet"/>
      <w:lvlText w:val="•"/>
      <w:lvlJc w:val="left"/>
      <w:pPr>
        <w:ind w:left="1814" w:hanging="720"/>
      </w:pPr>
      <w:rPr>
        <w:rFonts w:hint="default"/>
        <w:lang w:val="en-US" w:eastAsia="en-US" w:bidi="ar-SA"/>
      </w:rPr>
    </w:lvl>
    <w:lvl w:ilvl="3" w:tplc="D27C6E5C">
      <w:numFmt w:val="bullet"/>
      <w:lvlText w:val="•"/>
      <w:lvlJc w:val="left"/>
      <w:pPr>
        <w:ind w:left="2721" w:hanging="720"/>
      </w:pPr>
      <w:rPr>
        <w:rFonts w:hint="default"/>
        <w:lang w:val="en-US" w:eastAsia="en-US" w:bidi="ar-SA"/>
      </w:rPr>
    </w:lvl>
    <w:lvl w:ilvl="4" w:tplc="5AC24CAA">
      <w:numFmt w:val="bullet"/>
      <w:lvlText w:val="•"/>
      <w:lvlJc w:val="left"/>
      <w:pPr>
        <w:ind w:left="3629" w:hanging="720"/>
      </w:pPr>
      <w:rPr>
        <w:rFonts w:hint="default"/>
        <w:lang w:val="en-US" w:eastAsia="en-US" w:bidi="ar-SA"/>
      </w:rPr>
    </w:lvl>
    <w:lvl w:ilvl="5" w:tplc="645452D6">
      <w:numFmt w:val="bullet"/>
      <w:lvlText w:val="•"/>
      <w:lvlJc w:val="left"/>
      <w:pPr>
        <w:ind w:left="4536" w:hanging="720"/>
      </w:pPr>
      <w:rPr>
        <w:rFonts w:hint="default"/>
        <w:lang w:val="en-US" w:eastAsia="en-US" w:bidi="ar-SA"/>
      </w:rPr>
    </w:lvl>
    <w:lvl w:ilvl="6" w:tplc="31BEA808">
      <w:numFmt w:val="bullet"/>
      <w:lvlText w:val="•"/>
      <w:lvlJc w:val="left"/>
      <w:pPr>
        <w:ind w:left="5443" w:hanging="720"/>
      </w:pPr>
      <w:rPr>
        <w:rFonts w:hint="default"/>
        <w:lang w:val="en-US" w:eastAsia="en-US" w:bidi="ar-SA"/>
      </w:rPr>
    </w:lvl>
    <w:lvl w:ilvl="7" w:tplc="B4FEFFE4">
      <w:numFmt w:val="bullet"/>
      <w:lvlText w:val="•"/>
      <w:lvlJc w:val="left"/>
      <w:pPr>
        <w:ind w:left="6350" w:hanging="720"/>
      </w:pPr>
      <w:rPr>
        <w:rFonts w:hint="default"/>
        <w:lang w:val="en-US" w:eastAsia="en-US" w:bidi="ar-SA"/>
      </w:rPr>
    </w:lvl>
    <w:lvl w:ilvl="8" w:tplc="69CC0FDA">
      <w:numFmt w:val="bullet"/>
      <w:lvlText w:val="•"/>
      <w:lvlJc w:val="left"/>
      <w:pPr>
        <w:ind w:left="7258" w:hanging="720"/>
      </w:pPr>
      <w:rPr>
        <w:rFonts w:hint="default"/>
        <w:lang w:val="en-US" w:eastAsia="en-US" w:bidi="ar-SA"/>
      </w:rPr>
    </w:lvl>
  </w:abstractNum>
  <w:abstractNum w:abstractNumId="7" w15:restartNumberingAfterBreak="0">
    <w:nsid w:val="66631F8C"/>
    <w:multiLevelType w:val="hybridMultilevel"/>
    <w:tmpl w:val="D8640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0"/>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176D87"/>
    <w:rsid w:val="003A7DAE"/>
    <w:rsid w:val="00437E7E"/>
    <w:rsid w:val="004E665D"/>
    <w:rsid w:val="004F32E0"/>
    <w:rsid w:val="00640C92"/>
    <w:rsid w:val="006B2AF2"/>
    <w:rsid w:val="00767E66"/>
    <w:rsid w:val="00771BF5"/>
    <w:rsid w:val="007B76D0"/>
    <w:rsid w:val="00803EC8"/>
    <w:rsid w:val="00850BDA"/>
    <w:rsid w:val="00881714"/>
    <w:rsid w:val="008E267D"/>
    <w:rsid w:val="009C47A8"/>
    <w:rsid w:val="00AE49DF"/>
    <w:rsid w:val="00BA5EC2"/>
    <w:rsid w:val="00BB70D0"/>
    <w:rsid w:val="00BD5F21"/>
    <w:rsid w:val="00C13E6D"/>
    <w:rsid w:val="00E908FE"/>
    <w:rsid w:val="00EE4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character" w:styleId="CommentReference">
    <w:name w:val="annotation reference"/>
    <w:basedOn w:val="DefaultParagraphFont"/>
    <w:uiPriority w:val="99"/>
    <w:semiHidden/>
    <w:unhideWhenUsed/>
    <w:rsid w:val="008E267D"/>
    <w:rPr>
      <w:sz w:val="16"/>
      <w:szCs w:val="16"/>
    </w:rPr>
  </w:style>
  <w:style w:type="paragraph" w:styleId="CommentText">
    <w:name w:val="annotation text"/>
    <w:basedOn w:val="Normal"/>
    <w:link w:val="CommentTextChar"/>
    <w:uiPriority w:val="99"/>
    <w:unhideWhenUsed/>
    <w:rsid w:val="008E267D"/>
    <w:pPr>
      <w:spacing w:line="240" w:lineRule="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8E267D"/>
    <w:rPr>
      <w:sz w:val="20"/>
      <w:szCs w:val="20"/>
    </w:rPr>
  </w:style>
  <w:style w:type="character" w:customStyle="1" w:styleId="ListParagraphChar">
    <w:name w:val="List Paragraph Char"/>
    <w:basedOn w:val="DefaultParagraphFont"/>
    <w:link w:val="ListParagraph"/>
    <w:uiPriority w:val="34"/>
    <w:locked/>
    <w:rsid w:val="00E908FE"/>
    <w:rPr>
      <w:rFonts w:ascii="Calibri" w:eastAsia="Calibri" w:hAnsi="Calibri" w:cs="Calibri"/>
      <w:color w:val="000000"/>
      <w:lang w:eastAsia="en-GB"/>
    </w:rPr>
  </w:style>
  <w:style w:type="character" w:customStyle="1" w:styleId="ref-title">
    <w:name w:val="ref-title"/>
    <w:basedOn w:val="DefaultParagraphFont"/>
    <w:rsid w:val="00BA5EC2"/>
  </w:style>
  <w:style w:type="character" w:customStyle="1" w:styleId="ref-journal">
    <w:name w:val="ref-journal"/>
    <w:basedOn w:val="DefaultParagraphFont"/>
    <w:rsid w:val="00BA5EC2"/>
  </w:style>
  <w:style w:type="character" w:customStyle="1" w:styleId="ref-vol">
    <w:name w:val="ref-vol"/>
    <w:basedOn w:val="DefaultParagraphFont"/>
    <w:rsid w:val="00BA5EC2"/>
  </w:style>
  <w:style w:type="character" w:customStyle="1" w:styleId="ref-iss">
    <w:name w:val="ref-iss"/>
    <w:basedOn w:val="DefaultParagraphFont"/>
    <w:rsid w:val="00BA5EC2"/>
  </w:style>
  <w:style w:type="character" w:customStyle="1" w:styleId="mixed-citation">
    <w:name w:val="mixed-citation"/>
    <w:basedOn w:val="DefaultParagraphFont"/>
    <w:rsid w:val="00BA5EC2"/>
  </w:style>
  <w:style w:type="paragraph" w:styleId="BodyText">
    <w:name w:val="Body Text"/>
    <w:basedOn w:val="Normal"/>
    <w:link w:val="BodyTextChar"/>
    <w:uiPriority w:val="1"/>
    <w:qFormat/>
    <w:rsid w:val="00771BF5"/>
    <w:pPr>
      <w:widowControl w:val="0"/>
      <w:autoSpaceDE w:val="0"/>
      <w:autoSpaceDN w:val="0"/>
      <w:spacing w:after="0" w:line="240" w:lineRule="auto"/>
    </w:pPr>
    <w:rPr>
      <w:color w:val="auto"/>
      <w:lang w:val="en-US" w:eastAsia="en-US"/>
    </w:rPr>
  </w:style>
  <w:style w:type="character" w:customStyle="1" w:styleId="BodyTextChar">
    <w:name w:val="Body Text Char"/>
    <w:basedOn w:val="DefaultParagraphFont"/>
    <w:link w:val="BodyText"/>
    <w:uiPriority w:val="1"/>
    <w:rsid w:val="00771BF5"/>
    <w:rPr>
      <w:rFonts w:ascii="Calibri" w:eastAsia="Calibri" w:hAnsi="Calibri" w:cs="Calibri"/>
      <w:lang w:val="en-US"/>
    </w:rPr>
  </w:style>
  <w:style w:type="paragraph" w:customStyle="1" w:styleId="TableParagraph">
    <w:name w:val="Table Paragraph"/>
    <w:basedOn w:val="Normal"/>
    <w:uiPriority w:val="1"/>
    <w:qFormat/>
    <w:rsid w:val="00771BF5"/>
    <w:pPr>
      <w:widowControl w:val="0"/>
      <w:autoSpaceDE w:val="0"/>
      <w:autoSpaceDN w:val="0"/>
      <w:spacing w:before="1" w:after="0" w:line="240" w:lineRule="auto"/>
      <w:ind w:left="244" w:hanging="238"/>
    </w:pPr>
    <w:rPr>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5607">
      <w:bodyDiv w:val="1"/>
      <w:marLeft w:val="0"/>
      <w:marRight w:val="0"/>
      <w:marTop w:val="0"/>
      <w:marBottom w:val="0"/>
      <w:divBdr>
        <w:top w:val="none" w:sz="0" w:space="0" w:color="auto"/>
        <w:left w:val="none" w:sz="0" w:space="0" w:color="auto"/>
        <w:bottom w:val="none" w:sz="0" w:space="0" w:color="auto"/>
        <w:right w:val="none" w:sz="0" w:space="0" w:color="auto"/>
      </w:divBdr>
    </w:div>
    <w:div w:id="223031432">
      <w:bodyDiv w:val="1"/>
      <w:marLeft w:val="0"/>
      <w:marRight w:val="0"/>
      <w:marTop w:val="0"/>
      <w:marBottom w:val="0"/>
      <w:divBdr>
        <w:top w:val="none" w:sz="0" w:space="0" w:color="auto"/>
        <w:left w:val="none" w:sz="0" w:space="0" w:color="auto"/>
        <w:bottom w:val="none" w:sz="0" w:space="0" w:color="auto"/>
        <w:right w:val="none" w:sz="0" w:space="0" w:color="auto"/>
      </w:divBdr>
    </w:div>
    <w:div w:id="308368634">
      <w:bodyDiv w:val="1"/>
      <w:marLeft w:val="0"/>
      <w:marRight w:val="0"/>
      <w:marTop w:val="0"/>
      <w:marBottom w:val="0"/>
      <w:divBdr>
        <w:top w:val="none" w:sz="0" w:space="0" w:color="auto"/>
        <w:left w:val="none" w:sz="0" w:space="0" w:color="auto"/>
        <w:bottom w:val="none" w:sz="0" w:space="0" w:color="auto"/>
        <w:right w:val="none" w:sz="0" w:space="0" w:color="auto"/>
      </w:divBdr>
    </w:div>
    <w:div w:id="451366901">
      <w:bodyDiv w:val="1"/>
      <w:marLeft w:val="0"/>
      <w:marRight w:val="0"/>
      <w:marTop w:val="0"/>
      <w:marBottom w:val="0"/>
      <w:divBdr>
        <w:top w:val="none" w:sz="0" w:space="0" w:color="auto"/>
        <w:left w:val="none" w:sz="0" w:space="0" w:color="auto"/>
        <w:bottom w:val="none" w:sz="0" w:space="0" w:color="auto"/>
        <w:right w:val="none" w:sz="0" w:space="0" w:color="auto"/>
      </w:divBdr>
    </w:div>
    <w:div w:id="492188961">
      <w:bodyDiv w:val="1"/>
      <w:marLeft w:val="0"/>
      <w:marRight w:val="0"/>
      <w:marTop w:val="0"/>
      <w:marBottom w:val="0"/>
      <w:divBdr>
        <w:top w:val="none" w:sz="0" w:space="0" w:color="auto"/>
        <w:left w:val="none" w:sz="0" w:space="0" w:color="auto"/>
        <w:bottom w:val="none" w:sz="0" w:space="0" w:color="auto"/>
        <w:right w:val="none" w:sz="0" w:space="0" w:color="auto"/>
      </w:divBdr>
    </w:div>
    <w:div w:id="512644242">
      <w:bodyDiv w:val="1"/>
      <w:marLeft w:val="0"/>
      <w:marRight w:val="0"/>
      <w:marTop w:val="0"/>
      <w:marBottom w:val="0"/>
      <w:divBdr>
        <w:top w:val="none" w:sz="0" w:space="0" w:color="auto"/>
        <w:left w:val="none" w:sz="0" w:space="0" w:color="auto"/>
        <w:bottom w:val="none" w:sz="0" w:space="0" w:color="auto"/>
        <w:right w:val="none" w:sz="0" w:space="0" w:color="auto"/>
      </w:divBdr>
    </w:div>
    <w:div w:id="900869975">
      <w:bodyDiv w:val="1"/>
      <w:marLeft w:val="0"/>
      <w:marRight w:val="0"/>
      <w:marTop w:val="0"/>
      <w:marBottom w:val="0"/>
      <w:divBdr>
        <w:top w:val="none" w:sz="0" w:space="0" w:color="auto"/>
        <w:left w:val="none" w:sz="0" w:space="0" w:color="auto"/>
        <w:bottom w:val="none" w:sz="0" w:space="0" w:color="auto"/>
        <w:right w:val="none" w:sz="0" w:space="0" w:color="auto"/>
      </w:divBdr>
    </w:div>
    <w:div w:id="1267692471">
      <w:bodyDiv w:val="1"/>
      <w:marLeft w:val="0"/>
      <w:marRight w:val="0"/>
      <w:marTop w:val="0"/>
      <w:marBottom w:val="0"/>
      <w:divBdr>
        <w:top w:val="none" w:sz="0" w:space="0" w:color="auto"/>
        <w:left w:val="none" w:sz="0" w:space="0" w:color="auto"/>
        <w:bottom w:val="none" w:sz="0" w:space="0" w:color="auto"/>
        <w:right w:val="none" w:sz="0" w:space="0" w:color="auto"/>
      </w:divBdr>
    </w:div>
    <w:div w:id="1271619025">
      <w:bodyDiv w:val="1"/>
      <w:marLeft w:val="0"/>
      <w:marRight w:val="0"/>
      <w:marTop w:val="0"/>
      <w:marBottom w:val="0"/>
      <w:divBdr>
        <w:top w:val="none" w:sz="0" w:space="0" w:color="auto"/>
        <w:left w:val="none" w:sz="0" w:space="0" w:color="auto"/>
        <w:bottom w:val="none" w:sz="0" w:space="0" w:color="auto"/>
        <w:right w:val="none" w:sz="0" w:space="0" w:color="auto"/>
      </w:divBdr>
    </w:div>
    <w:div w:id="1338341293">
      <w:bodyDiv w:val="1"/>
      <w:marLeft w:val="0"/>
      <w:marRight w:val="0"/>
      <w:marTop w:val="0"/>
      <w:marBottom w:val="0"/>
      <w:divBdr>
        <w:top w:val="none" w:sz="0" w:space="0" w:color="auto"/>
        <w:left w:val="none" w:sz="0" w:space="0" w:color="auto"/>
        <w:bottom w:val="none" w:sz="0" w:space="0" w:color="auto"/>
        <w:right w:val="none" w:sz="0" w:space="0" w:color="auto"/>
      </w:divBdr>
    </w:div>
    <w:div w:id="1472019486">
      <w:bodyDiv w:val="1"/>
      <w:marLeft w:val="0"/>
      <w:marRight w:val="0"/>
      <w:marTop w:val="0"/>
      <w:marBottom w:val="0"/>
      <w:divBdr>
        <w:top w:val="none" w:sz="0" w:space="0" w:color="auto"/>
        <w:left w:val="none" w:sz="0" w:space="0" w:color="auto"/>
        <w:bottom w:val="none" w:sz="0" w:space="0" w:color="auto"/>
        <w:right w:val="none" w:sz="0" w:space="0" w:color="auto"/>
      </w:divBdr>
    </w:div>
    <w:div w:id="1529637568">
      <w:bodyDiv w:val="1"/>
      <w:marLeft w:val="0"/>
      <w:marRight w:val="0"/>
      <w:marTop w:val="0"/>
      <w:marBottom w:val="0"/>
      <w:divBdr>
        <w:top w:val="none" w:sz="0" w:space="0" w:color="auto"/>
        <w:left w:val="none" w:sz="0" w:space="0" w:color="auto"/>
        <w:bottom w:val="none" w:sz="0" w:space="0" w:color="auto"/>
        <w:right w:val="none" w:sz="0" w:space="0" w:color="auto"/>
      </w:divBdr>
    </w:div>
    <w:div w:id="1978533966">
      <w:bodyDiv w:val="1"/>
      <w:marLeft w:val="0"/>
      <w:marRight w:val="0"/>
      <w:marTop w:val="0"/>
      <w:marBottom w:val="0"/>
      <w:divBdr>
        <w:top w:val="none" w:sz="0" w:space="0" w:color="auto"/>
        <w:left w:val="none" w:sz="0" w:space="0" w:color="auto"/>
        <w:bottom w:val="none" w:sz="0" w:space="0" w:color="auto"/>
        <w:right w:val="none" w:sz="0" w:space="0" w:color="auto"/>
      </w:divBdr>
    </w:div>
    <w:div w:id="2028751261">
      <w:bodyDiv w:val="1"/>
      <w:marLeft w:val="0"/>
      <w:marRight w:val="0"/>
      <w:marTop w:val="0"/>
      <w:marBottom w:val="0"/>
      <w:divBdr>
        <w:top w:val="none" w:sz="0" w:space="0" w:color="auto"/>
        <w:left w:val="none" w:sz="0" w:space="0" w:color="auto"/>
        <w:bottom w:val="none" w:sz="0" w:space="0" w:color="auto"/>
        <w:right w:val="none" w:sz="0" w:space="0" w:color="auto"/>
      </w:divBdr>
    </w:div>
    <w:div w:id="203885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ma.watson@leic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3</cp:revision>
  <dcterms:created xsi:type="dcterms:W3CDTF">2024-12-18T15:05:00Z</dcterms:created>
  <dcterms:modified xsi:type="dcterms:W3CDTF">2024-12-19T10:52:00Z</dcterms:modified>
</cp:coreProperties>
</file>