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F4B2" w14:textId="064BF841" w:rsidR="00AE49DF" w:rsidRPr="005D7480" w:rsidRDefault="00AE49DF" w:rsidP="00066C81">
      <w:pPr>
        <w:spacing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14:paraId="44BD011A" w14:textId="34DA6286" w:rsidR="008E267D" w:rsidRPr="005D7480" w:rsidRDefault="008E267D" w:rsidP="00850B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5D7480">
        <w:rPr>
          <w:rFonts w:asciiTheme="minorHAnsi" w:hAnsiTheme="minorHAnsi" w:cstheme="minorHAnsi"/>
          <w:b/>
          <w:bCs/>
          <w:color w:val="auto"/>
        </w:rPr>
        <w:t>LEICESTER LIFESTYLE AND HEALTH RESEARCH GROUP</w:t>
      </w:r>
    </w:p>
    <w:p w14:paraId="39026CA5" w14:textId="77777777" w:rsidR="005D7480" w:rsidRPr="008B6CCA" w:rsidRDefault="005D7480" w:rsidP="00850B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color w:val="0070C0"/>
        </w:rPr>
      </w:pPr>
    </w:p>
    <w:p w14:paraId="20587DEA" w14:textId="5BC2CAF0" w:rsidR="00384C5A" w:rsidRDefault="008B6CCA" w:rsidP="00066C81">
      <w:pPr>
        <w:spacing w:after="0" w:line="240" w:lineRule="auto"/>
        <w:rPr>
          <w:rFonts w:asciiTheme="minorHAnsi" w:hAnsiTheme="minorHAnsi" w:cstheme="minorHAnsi"/>
          <w:b/>
          <w:lang w:val="en-US"/>
        </w:rPr>
      </w:pPr>
      <w:r w:rsidRPr="008B6CCA">
        <w:rPr>
          <w:rFonts w:asciiTheme="minorHAnsi" w:hAnsiTheme="minorHAnsi" w:cstheme="minorHAnsi"/>
          <w:b/>
          <w:lang w:val="en-US"/>
        </w:rPr>
        <w:t>Evaluation of two digital health interventions for people with long term conditions</w:t>
      </w:r>
    </w:p>
    <w:p w14:paraId="5AF033C6" w14:textId="77777777" w:rsidR="005D7480" w:rsidRPr="008B6CCA" w:rsidRDefault="005D7480" w:rsidP="00066C81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8B6CCA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8B6CCA" w:rsidRDefault="00066C81" w:rsidP="00066C81">
            <w:pPr>
              <w:rPr>
                <w:rFonts w:asciiTheme="minorHAnsi" w:hAnsiTheme="minorHAnsi" w:cstheme="minorHAnsi"/>
                <w:b/>
              </w:rPr>
            </w:pPr>
            <w:r w:rsidRPr="008B6CCA">
              <w:rPr>
                <w:rFonts w:asciiTheme="minorHAnsi" w:hAnsiTheme="minorHAnsi" w:cstheme="minorHAnsi"/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3CF4F38D" w:rsidR="00066C81" w:rsidRPr="008B6CCA" w:rsidRDefault="008B6CCA" w:rsidP="00066C81">
            <w:pPr>
              <w:rPr>
                <w:rFonts w:asciiTheme="minorHAnsi" w:hAnsiTheme="minorHAnsi" w:cstheme="minorHAnsi"/>
                <w:b/>
              </w:rPr>
            </w:pPr>
            <w:r w:rsidRPr="008B6CCA">
              <w:rPr>
                <w:rFonts w:asciiTheme="minorHAnsi" w:eastAsia="Times New Roman" w:hAnsiTheme="minorHAnsi" w:cstheme="minorHAnsi"/>
              </w:rPr>
              <w:t>P</w:t>
            </w:r>
            <w:r w:rsidRPr="008B6CCA">
              <w:rPr>
                <w:rFonts w:asciiTheme="minorHAnsi" w:eastAsia="Times New Roman" w:hAnsiTheme="minorHAnsi" w:cstheme="minorHAnsi"/>
                <w:b/>
                <w:bCs/>
              </w:rPr>
              <w:t>rof</w:t>
            </w:r>
            <w:r w:rsidR="005D7480">
              <w:rPr>
                <w:rFonts w:asciiTheme="minorHAnsi" w:eastAsia="Times New Roman" w:hAnsiTheme="minorHAnsi" w:cstheme="minorHAnsi"/>
                <w:b/>
                <w:bCs/>
              </w:rPr>
              <w:t>essor</w:t>
            </w:r>
            <w:r w:rsidRPr="008B6CCA">
              <w:rPr>
                <w:rFonts w:asciiTheme="minorHAnsi" w:eastAsia="Times New Roman" w:hAnsiTheme="minorHAnsi" w:cstheme="minorHAnsi"/>
                <w:b/>
                <w:bCs/>
              </w:rPr>
              <w:t xml:space="preserve"> Charlotte Edwardson</w:t>
            </w:r>
          </w:p>
        </w:tc>
      </w:tr>
      <w:tr w:rsidR="00066C81" w:rsidRPr="008B6CCA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8B6CCA" w:rsidRDefault="00066C81" w:rsidP="00066C81">
            <w:pPr>
              <w:rPr>
                <w:rFonts w:asciiTheme="minorHAnsi" w:hAnsiTheme="minorHAnsi" w:cstheme="minorHAnsi"/>
                <w:b/>
              </w:rPr>
            </w:pPr>
            <w:r w:rsidRPr="008B6CCA">
              <w:rPr>
                <w:rFonts w:asciiTheme="minorHAnsi" w:hAnsiTheme="minorHAnsi" w:cstheme="minorHAnsi"/>
                <w:b/>
              </w:rPr>
              <w:t>School/Department</w:t>
            </w:r>
          </w:p>
        </w:tc>
        <w:tc>
          <w:tcPr>
            <w:tcW w:w="5807" w:type="dxa"/>
          </w:tcPr>
          <w:p w14:paraId="0B7A4BF6" w14:textId="48728C81" w:rsidR="00066C81" w:rsidRPr="008B6CCA" w:rsidRDefault="00A83104" w:rsidP="00066C81">
            <w:pPr>
              <w:rPr>
                <w:rFonts w:asciiTheme="minorHAnsi" w:hAnsiTheme="minorHAnsi" w:cstheme="minorHAnsi"/>
                <w:b/>
              </w:rPr>
            </w:pPr>
            <w:r w:rsidRPr="008B6CCA">
              <w:rPr>
                <w:rFonts w:asciiTheme="minorHAnsi" w:hAnsiTheme="minorHAnsi" w:cstheme="minorHAnsi"/>
                <w:b/>
              </w:rPr>
              <w:t>Diabetes Research Centre</w:t>
            </w:r>
          </w:p>
        </w:tc>
      </w:tr>
      <w:tr w:rsidR="003A7DAE" w:rsidRPr="008B6CCA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8B6CCA" w:rsidRDefault="003A7DAE" w:rsidP="00066C81">
            <w:pPr>
              <w:rPr>
                <w:rFonts w:asciiTheme="minorHAnsi" w:hAnsiTheme="minorHAnsi" w:cstheme="minorHAnsi"/>
                <w:b/>
              </w:rPr>
            </w:pPr>
            <w:r w:rsidRPr="008B6CCA">
              <w:rPr>
                <w:rFonts w:asciiTheme="minorHAnsi" w:hAnsiTheme="minorHAnsi" w:cstheme="minorHAnsi"/>
                <w:b/>
              </w:rPr>
              <w:t xml:space="preserve">Email </w:t>
            </w:r>
          </w:p>
        </w:tc>
        <w:tc>
          <w:tcPr>
            <w:tcW w:w="5807" w:type="dxa"/>
          </w:tcPr>
          <w:p w14:paraId="28BF855B" w14:textId="4A046D3E" w:rsidR="003A7DAE" w:rsidRPr="008B6CCA" w:rsidRDefault="008B6CCA" w:rsidP="00066C81">
            <w:pPr>
              <w:rPr>
                <w:rFonts w:asciiTheme="minorHAnsi" w:hAnsiTheme="minorHAnsi" w:cstheme="minorHAnsi"/>
                <w:b/>
              </w:rPr>
            </w:pPr>
            <w:r w:rsidRPr="008B6CCA">
              <w:rPr>
                <w:rFonts w:asciiTheme="minorHAnsi" w:eastAsia="Times New Roman" w:hAnsiTheme="minorHAnsi" w:cstheme="minorHAnsi"/>
                <w:b/>
                <w:bCs/>
              </w:rPr>
              <w:t>ce95@leicester.ac.uk</w:t>
            </w:r>
          </w:p>
        </w:tc>
      </w:tr>
    </w:tbl>
    <w:p w14:paraId="7C06D8EE" w14:textId="77777777" w:rsidR="00066C81" w:rsidRPr="008B6CCA" w:rsidRDefault="00066C81" w:rsidP="00066C81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:rsidRPr="008B6CCA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8B6CCA" w:rsidRDefault="00066C81" w:rsidP="00ED69E6">
            <w:pPr>
              <w:rPr>
                <w:rFonts w:asciiTheme="minorHAnsi" w:hAnsiTheme="minorHAnsi" w:cstheme="minorHAnsi"/>
                <w:b/>
              </w:rPr>
            </w:pPr>
            <w:r w:rsidRPr="008B6CCA">
              <w:rPr>
                <w:rFonts w:asciiTheme="minorHAnsi" w:hAnsiTheme="minorHAnsi" w:cstheme="minorHAnsi"/>
                <w:b/>
              </w:rPr>
              <w:t>Second Supervisor</w:t>
            </w:r>
          </w:p>
        </w:tc>
        <w:tc>
          <w:tcPr>
            <w:tcW w:w="5778" w:type="dxa"/>
          </w:tcPr>
          <w:p w14:paraId="489D6B79" w14:textId="6818B05F" w:rsidR="00066C81" w:rsidRPr="008B6CCA" w:rsidRDefault="008B6CCA" w:rsidP="00ED69E6">
            <w:pPr>
              <w:rPr>
                <w:rFonts w:asciiTheme="minorHAnsi" w:hAnsiTheme="minorHAnsi" w:cstheme="minorHAnsi"/>
                <w:b/>
              </w:rPr>
            </w:pPr>
            <w:r w:rsidRPr="008B6CCA">
              <w:rPr>
                <w:rFonts w:asciiTheme="minorHAnsi" w:eastAsia="Times New Roman" w:hAnsiTheme="minorHAnsi" w:cstheme="minorHAnsi"/>
                <w:b/>
                <w:bCs/>
              </w:rPr>
              <w:t xml:space="preserve">Dr Enya </w:t>
            </w:r>
            <w:proofErr w:type="spellStart"/>
            <w:r w:rsidRPr="008B6CCA">
              <w:rPr>
                <w:rFonts w:asciiTheme="minorHAnsi" w:eastAsia="Times New Roman" w:hAnsiTheme="minorHAnsi" w:cstheme="minorHAnsi"/>
                <w:b/>
                <w:bCs/>
              </w:rPr>
              <w:t>Daynes</w:t>
            </w:r>
            <w:proofErr w:type="spellEnd"/>
          </w:p>
        </w:tc>
      </w:tr>
      <w:tr w:rsidR="00066C81" w:rsidRPr="008B6CCA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066C81" w:rsidRPr="008B6CCA" w:rsidRDefault="00066C81" w:rsidP="00ED69E6">
            <w:pPr>
              <w:rPr>
                <w:rFonts w:asciiTheme="minorHAnsi" w:hAnsiTheme="minorHAnsi" w:cstheme="minorHAnsi"/>
                <w:b/>
              </w:rPr>
            </w:pPr>
            <w:r w:rsidRPr="008B6CCA">
              <w:rPr>
                <w:rFonts w:asciiTheme="minorHAnsi" w:hAnsiTheme="minorHAnsi" w:cstheme="minorHAnsi"/>
                <w:b/>
              </w:rPr>
              <w:t>School/Department</w:t>
            </w:r>
          </w:p>
        </w:tc>
        <w:tc>
          <w:tcPr>
            <w:tcW w:w="5778" w:type="dxa"/>
          </w:tcPr>
          <w:p w14:paraId="1B7222C7" w14:textId="7FD57F36" w:rsidR="00066C81" w:rsidRPr="008B6CCA" w:rsidRDefault="008B6CCA" w:rsidP="00ED69E6">
            <w:pPr>
              <w:rPr>
                <w:rFonts w:asciiTheme="minorHAnsi" w:hAnsiTheme="minorHAnsi" w:cstheme="minorHAnsi"/>
                <w:b/>
              </w:rPr>
            </w:pPr>
            <w:r w:rsidRPr="008B6CCA">
              <w:rPr>
                <w:rFonts w:asciiTheme="minorHAnsi" w:hAnsiTheme="minorHAnsi" w:cstheme="minorHAnsi"/>
                <w:b/>
              </w:rPr>
              <w:t>Respiratory Sciences</w:t>
            </w:r>
          </w:p>
        </w:tc>
      </w:tr>
      <w:tr w:rsidR="003A7DAE" w:rsidRPr="008B6CCA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3A7DAE" w:rsidRPr="008B6CCA" w:rsidRDefault="003A7DAE" w:rsidP="00ED69E6">
            <w:pPr>
              <w:rPr>
                <w:rFonts w:asciiTheme="minorHAnsi" w:hAnsiTheme="minorHAnsi" w:cstheme="minorHAnsi"/>
                <w:b/>
              </w:rPr>
            </w:pPr>
            <w:r w:rsidRPr="008B6CCA">
              <w:rPr>
                <w:rFonts w:asciiTheme="minorHAnsi" w:hAnsiTheme="minorHAnsi" w:cstheme="minorHAnsi"/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D06D5DB" w14:textId="499A869D" w:rsidR="003A7DAE" w:rsidRPr="008B6CCA" w:rsidRDefault="005D7480" w:rsidP="008B6CCA">
            <w:pPr>
              <w:textAlignment w:val="baseline"/>
              <w:rPr>
                <w:rFonts w:asciiTheme="minorHAnsi" w:eastAsia="Times New Roman" w:hAnsiTheme="minorHAnsi" w:cstheme="minorHAnsi"/>
              </w:rPr>
            </w:pPr>
            <w:hyperlink r:id="rId5" w:history="1">
              <w:r w:rsidR="008B6CCA" w:rsidRPr="008B6CCA">
                <w:rPr>
                  <w:rStyle w:val="Hyperlink"/>
                  <w:rFonts w:asciiTheme="minorHAnsi" w:eastAsia="Times New Roman" w:hAnsiTheme="minorHAnsi" w:cstheme="minorHAnsi"/>
                  <w:b/>
                  <w:bCs/>
                </w:rPr>
                <w:t>ed207@leicester.ac.uk</w:t>
              </w:r>
            </w:hyperlink>
          </w:p>
        </w:tc>
      </w:tr>
    </w:tbl>
    <w:p w14:paraId="3188842D" w14:textId="77777777" w:rsidR="00066C81" w:rsidRPr="008B6CCA" w:rsidRDefault="00066C81" w:rsidP="00066C81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:rsidRPr="008B6CCA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8B6CCA" w:rsidRDefault="00066C81" w:rsidP="00ED69E6">
            <w:pPr>
              <w:rPr>
                <w:rFonts w:asciiTheme="minorHAnsi" w:hAnsiTheme="minorHAnsi" w:cstheme="minorHAnsi"/>
                <w:b/>
              </w:rPr>
            </w:pPr>
            <w:r w:rsidRPr="008B6CCA">
              <w:rPr>
                <w:rFonts w:asciiTheme="minorHAnsi" w:hAnsiTheme="minorHAnsi" w:cstheme="minorHAnsi"/>
                <w:b/>
              </w:rPr>
              <w:t>Additional Supervisor</w:t>
            </w:r>
          </w:p>
        </w:tc>
        <w:tc>
          <w:tcPr>
            <w:tcW w:w="5778" w:type="dxa"/>
          </w:tcPr>
          <w:p w14:paraId="04519482" w14:textId="49124AF3" w:rsidR="00066C81" w:rsidRPr="008B6CCA" w:rsidRDefault="008B6CCA" w:rsidP="00ED69E6">
            <w:pPr>
              <w:rPr>
                <w:rFonts w:asciiTheme="minorHAnsi" w:hAnsiTheme="minorHAnsi" w:cstheme="minorHAnsi"/>
                <w:b/>
              </w:rPr>
            </w:pPr>
            <w:r w:rsidRPr="008B6CCA">
              <w:rPr>
                <w:rFonts w:asciiTheme="minorHAnsi" w:eastAsia="Times New Roman" w:hAnsiTheme="minorHAnsi" w:cstheme="minorHAnsi"/>
                <w:b/>
                <w:bCs/>
              </w:rPr>
              <w:t>Dr Michelle Hadjiconstantinou, Diabetes Research Centre, mh333@leicester.ac.uk</w:t>
            </w:r>
          </w:p>
        </w:tc>
      </w:tr>
    </w:tbl>
    <w:p w14:paraId="4806292A" w14:textId="77777777" w:rsidR="00066C81" w:rsidRPr="008B6CCA" w:rsidRDefault="00066C81" w:rsidP="00066C81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2F660E25" w14:textId="77777777" w:rsidR="00066C81" w:rsidRPr="008B6CCA" w:rsidRDefault="00066C81" w:rsidP="00066C81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8B6CCA">
        <w:rPr>
          <w:rFonts w:asciiTheme="minorHAnsi" w:hAnsiTheme="minorHAnsi" w:cstheme="minorHAnsi"/>
          <w:b/>
        </w:rPr>
        <w:t xml:space="preserve">Section 2 – </w:t>
      </w:r>
      <w:r w:rsidRPr="008B6CCA">
        <w:rPr>
          <w:rFonts w:asciiTheme="minorHAnsi" w:hAnsiTheme="minorHAnsi" w:cstheme="minorHAnsi"/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:rsidRPr="008B6CCA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Pr="008B6CCA" w:rsidRDefault="00066C81" w:rsidP="00ED69E6">
            <w:pPr>
              <w:rPr>
                <w:rFonts w:asciiTheme="minorHAnsi" w:hAnsiTheme="minorHAnsi" w:cstheme="minorHAnsi"/>
                <w:b/>
              </w:rPr>
            </w:pPr>
            <w:r w:rsidRPr="008B6CCA">
              <w:rPr>
                <w:rFonts w:asciiTheme="minorHAnsi" w:hAnsiTheme="minorHAnsi" w:cstheme="minorHAnsi"/>
                <w:b/>
              </w:rPr>
              <w:t>Project Title</w:t>
            </w:r>
          </w:p>
          <w:p w14:paraId="2AE8459A" w14:textId="77777777" w:rsidR="00066C81" w:rsidRPr="008B6CCA" w:rsidRDefault="00066C81" w:rsidP="00ED69E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36" w:type="dxa"/>
          </w:tcPr>
          <w:p w14:paraId="2BC2E11D" w14:textId="0D02CF6E" w:rsidR="00066C81" w:rsidRPr="008B6CCA" w:rsidRDefault="008B6CCA" w:rsidP="00ED69E6">
            <w:pPr>
              <w:rPr>
                <w:rFonts w:asciiTheme="minorHAnsi" w:hAnsiTheme="minorHAnsi" w:cstheme="minorHAnsi"/>
                <w:b/>
                <w:bCs/>
              </w:rPr>
            </w:pPr>
            <w:r w:rsidRPr="008B6CCA">
              <w:rPr>
                <w:rFonts w:asciiTheme="minorHAnsi" w:hAnsiTheme="minorHAnsi" w:cstheme="minorHAnsi"/>
                <w:b/>
                <w:lang w:val="en-US"/>
              </w:rPr>
              <w:t>Evaluation of two digital health interventions for people with long term conditions</w:t>
            </w:r>
            <w:r w:rsidRPr="008B6CC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066C81" w:rsidRPr="008B6CCA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Pr="008B6CCA" w:rsidRDefault="00066C81" w:rsidP="00066C81">
            <w:pPr>
              <w:rPr>
                <w:rFonts w:asciiTheme="minorHAnsi" w:hAnsiTheme="minorHAnsi" w:cstheme="minorHAnsi"/>
              </w:rPr>
            </w:pPr>
            <w:r w:rsidRPr="008B6CCA">
              <w:rPr>
                <w:rFonts w:asciiTheme="minorHAnsi" w:hAnsiTheme="minorHAnsi" w:cstheme="minorHAnsi"/>
                <w:b/>
                <w:highlight w:val="lightGray"/>
              </w:rPr>
              <w:t>Project Summary</w:t>
            </w:r>
            <w:r w:rsidRPr="008B6CC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066C81" w:rsidRPr="008B6CCA" w14:paraId="51FA071A" w14:textId="77777777" w:rsidTr="00ED69E6">
        <w:tc>
          <w:tcPr>
            <w:tcW w:w="9016" w:type="dxa"/>
            <w:gridSpan w:val="2"/>
          </w:tcPr>
          <w:p w14:paraId="3219E827" w14:textId="77777777" w:rsidR="008B6CCA" w:rsidRPr="008B6CCA" w:rsidRDefault="008B6CCA" w:rsidP="008B6CCA">
            <w:pPr>
              <w:rPr>
                <w:rFonts w:asciiTheme="minorHAnsi" w:hAnsiTheme="minorHAnsi" w:cstheme="minorHAnsi"/>
              </w:rPr>
            </w:pPr>
            <w:r w:rsidRPr="008B6CCA">
              <w:rPr>
                <w:rFonts w:asciiTheme="minorHAnsi" w:eastAsia="Times New Roman" w:hAnsiTheme="minorHAnsi" w:cstheme="minorHAnsi"/>
                <w:i/>
                <w:iCs/>
              </w:rPr>
              <w:t>Background:</w:t>
            </w:r>
            <w:r w:rsidRPr="008B6CCA">
              <w:rPr>
                <w:rFonts w:asciiTheme="minorHAnsi" w:hAnsiTheme="minorHAnsi" w:cstheme="minorHAnsi"/>
              </w:rPr>
              <w:t xml:space="preserve"> </w:t>
            </w:r>
          </w:p>
          <w:p w14:paraId="26EBFA75" w14:textId="77777777" w:rsidR="008B6CCA" w:rsidRPr="008B6CCA" w:rsidRDefault="008B6CCA" w:rsidP="008B6CCA">
            <w:pPr>
              <w:spacing w:before="100" w:beforeAutospacing="1" w:after="100" w:afterAutospacing="1"/>
              <w:jc w:val="both"/>
              <w:textAlignment w:val="baseline"/>
              <w:rPr>
                <w:rFonts w:asciiTheme="minorHAnsi" w:hAnsiTheme="minorHAnsi" w:cstheme="minorHAnsi"/>
                <w:color w:val="1B1B1B"/>
                <w:shd w:val="clear" w:color="auto" w:fill="FFFFFF"/>
                <w:vertAlign w:val="superscript"/>
              </w:rPr>
            </w:pPr>
            <w:r w:rsidRPr="008B6CCA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lastRenderedPageBreak/>
              <w:t>There has been an increasing interest in the use of digital health lifestyle interventions for people at risk and with long term health conditions. Restrictions during the covid-19 pandemic forced a more prominent dependence on digital health for chronic disease management.</w:t>
            </w:r>
            <w:r w:rsidRPr="008B6CCA">
              <w:rPr>
                <w:rFonts w:asciiTheme="minorHAnsi" w:hAnsiTheme="minorHAnsi" w:cstheme="minorHAnsi"/>
                <w:color w:val="212121"/>
                <w:shd w:val="clear" w:color="auto" w:fill="FFFFFF"/>
                <w:vertAlign w:val="superscript"/>
              </w:rPr>
              <w:t>1</w:t>
            </w:r>
            <w:r w:rsidRPr="008B6CCA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Digital health interventions</w:t>
            </w:r>
            <w:r w:rsidRPr="008B6CCA">
              <w:rPr>
                <w:rFonts w:asciiTheme="minorHAnsi" w:hAnsiTheme="minorHAnsi" w:cstheme="minorHAnsi"/>
                <w:color w:val="1B1B1B"/>
                <w:shd w:val="clear" w:color="auto" w:fill="FFFFFF"/>
              </w:rPr>
              <w:t xml:space="preserve"> have the potential to reduce the resources of intensive lifestyle interventions and thereby make them more scalable and accessible in clinical practice</w:t>
            </w:r>
            <w:r w:rsidRPr="008B6CCA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. </w:t>
            </w:r>
            <w:r w:rsidRPr="008B6CCA">
              <w:rPr>
                <w:rFonts w:asciiTheme="minorHAnsi" w:hAnsiTheme="minorHAnsi" w:cstheme="minorHAnsi"/>
                <w:color w:val="1B1B1B"/>
                <w:shd w:val="clear" w:color="auto" w:fill="FFFFFF"/>
              </w:rPr>
              <w:t>Digital health includes the use of digital technologies in support of health care and includes technologies such as mobile apps, videos, websites, and wearable devices.</w:t>
            </w:r>
            <w:r w:rsidRPr="008B6CCA">
              <w:rPr>
                <w:rFonts w:asciiTheme="minorHAnsi" w:hAnsiTheme="minorHAnsi" w:cstheme="minorHAnsi"/>
                <w:color w:val="1B1B1B"/>
                <w:shd w:val="clear" w:color="auto" w:fill="FFFFFF"/>
                <w:vertAlign w:val="superscript"/>
              </w:rPr>
              <w:t>2</w:t>
            </w:r>
          </w:p>
          <w:p w14:paraId="45F42F9F" w14:textId="77777777" w:rsidR="008B6CCA" w:rsidRPr="008B6CCA" w:rsidRDefault="008B6CCA" w:rsidP="008B6CCA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212121"/>
                <w:shd w:val="clear" w:color="auto" w:fill="FFFFFF"/>
              </w:rPr>
            </w:pPr>
            <w:r w:rsidRPr="008B6CCA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Researchers at the Leicester Biomedical Research Centre are world leaders in developing lifestyle behaviour change programmes for people with long term conditions, particularly type 2 diabetes and Chronic Obstructive Pulmonary Disease (COPD). The DESMOND programme, developed by the Leicester Diabetes Centre, supports </w:t>
            </w:r>
            <w:r w:rsidRPr="008B6CCA">
              <w:rPr>
                <w:rFonts w:asciiTheme="minorHAnsi" w:hAnsiTheme="minorHAnsi" w:cstheme="minorHAnsi"/>
                <w:lang w:val="en-US"/>
              </w:rPr>
              <w:t xml:space="preserve">people with type 2 diabetes with their diagnosis and management of their condition </w:t>
            </w:r>
            <w:r w:rsidRPr="008B6CCA">
              <w:rPr>
                <w:rFonts w:asciiTheme="minorHAnsi" w:hAnsiTheme="minorHAnsi" w:cstheme="minorHAnsi"/>
                <w:color w:val="222222"/>
                <w:spacing w:val="2"/>
                <w:shd w:val="clear" w:color="auto" w:fill="FFFFFF"/>
              </w:rPr>
              <w:t>through lifestyle modification and behaviour change. In 2018 DESMOND was translated into a digital programme (</w:t>
            </w:r>
            <w:proofErr w:type="spellStart"/>
            <w:r w:rsidRPr="008B6CCA">
              <w:rPr>
                <w:rFonts w:asciiTheme="minorHAnsi" w:hAnsiTheme="minorHAnsi" w:cstheme="minorHAnsi"/>
                <w:color w:val="222222"/>
                <w:spacing w:val="2"/>
                <w:shd w:val="clear" w:color="auto" w:fill="FFFFFF"/>
              </w:rPr>
              <w:t>Mydesmond</w:t>
            </w:r>
            <w:proofErr w:type="spellEnd"/>
            <w:r w:rsidRPr="008B6CCA">
              <w:rPr>
                <w:rFonts w:asciiTheme="minorHAnsi" w:hAnsiTheme="minorHAnsi" w:cstheme="minorHAnsi"/>
                <w:color w:val="222222"/>
                <w:spacing w:val="2"/>
                <w:shd w:val="clear" w:color="auto" w:fill="FFFFFF"/>
              </w:rPr>
              <w:t>)</w:t>
            </w:r>
            <w:r w:rsidRPr="008B6CCA"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  <w:t>.</w:t>
            </w:r>
            <w:r w:rsidRPr="008B6CCA"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  <w:vertAlign w:val="superscript"/>
              </w:rPr>
              <w:t>3</w:t>
            </w:r>
            <w:r w:rsidRPr="008B6CCA"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  <w:t xml:space="preserve"> The user engagement and retention has previously been reported on the first 10,000 users</w:t>
            </w:r>
            <w:r w:rsidRPr="008B6CCA"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  <w:vertAlign w:val="superscript"/>
              </w:rPr>
              <w:t>4</w:t>
            </w:r>
            <w:r w:rsidRPr="008B6CCA">
              <w:rPr>
                <w:rFonts w:asciiTheme="minorHAnsi" w:hAnsiTheme="minorHAnsi" w:cstheme="minorHAnsi"/>
                <w:color w:val="000000" w:themeColor="text1"/>
                <w:spacing w:val="2"/>
                <w:shd w:val="clear" w:color="auto" w:fill="FFFFFF"/>
              </w:rPr>
              <w:t xml:space="preserve"> but there are now &gt;50,000 users and a wider implementation evaluation has yet to be conducted. </w:t>
            </w:r>
            <w:r w:rsidRPr="008B6CCA">
              <w:rPr>
                <w:rFonts w:asciiTheme="minorHAnsi" w:eastAsia="Times New Roman" w:hAnsiTheme="minorHAnsi" w:cstheme="minorHAnsi"/>
                <w:iCs/>
              </w:rPr>
              <w:t>Pulmonary Rehabilitation (PR) is a key intervention to improve the management of respiratory diseases, but centre based programmes are often inaccessible and burdensome for patients</w:t>
            </w:r>
            <w:r w:rsidRPr="008B6CCA">
              <w:rPr>
                <w:rFonts w:asciiTheme="minorHAnsi" w:eastAsia="Times New Roman" w:hAnsiTheme="minorHAnsi" w:cstheme="minorHAnsi"/>
                <w:iCs/>
                <w:vertAlign w:val="superscript"/>
              </w:rPr>
              <w:t>5</w:t>
            </w:r>
            <w:r w:rsidRPr="008B6CCA">
              <w:rPr>
                <w:rFonts w:asciiTheme="minorHAnsi" w:eastAsia="Times New Roman" w:hAnsiTheme="minorHAnsi" w:cstheme="minorHAnsi"/>
                <w:iCs/>
              </w:rPr>
              <w:t>. The I-impact programme, developed at the University Hospitals of Leicester NHS Trust, is a digital PR programme delivered remotely and asynchronously and was recognised as a potential technology for NHS adoption by NICE</w:t>
            </w:r>
            <w:r w:rsidRPr="008B6CCA">
              <w:rPr>
                <w:rFonts w:asciiTheme="minorHAnsi" w:eastAsia="Times New Roman" w:hAnsiTheme="minorHAnsi" w:cstheme="minorHAnsi"/>
                <w:iCs/>
                <w:vertAlign w:val="superscript"/>
              </w:rPr>
              <w:t>6</w:t>
            </w:r>
            <w:r w:rsidRPr="008B6CCA">
              <w:rPr>
                <w:rFonts w:asciiTheme="minorHAnsi" w:eastAsia="Times New Roman" w:hAnsiTheme="minorHAnsi" w:cstheme="minorHAnsi"/>
                <w:iCs/>
              </w:rPr>
              <w:t>.</w:t>
            </w:r>
          </w:p>
          <w:p w14:paraId="43D3CDCA" w14:textId="77777777" w:rsidR="008B6CCA" w:rsidRPr="008B6CCA" w:rsidRDefault="008B6CCA" w:rsidP="008B6CCA">
            <w:pPr>
              <w:spacing w:before="100" w:beforeAutospacing="1" w:after="100" w:afterAutospacing="1"/>
              <w:jc w:val="both"/>
              <w:textAlignment w:val="baseline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8B6CCA">
              <w:rPr>
                <w:rFonts w:asciiTheme="minorHAnsi" w:eastAsia="Times New Roman" w:hAnsiTheme="minorHAnsi" w:cstheme="minorHAnsi"/>
                <w:i/>
                <w:iCs/>
              </w:rPr>
              <w:t xml:space="preserve">Aim: </w:t>
            </w:r>
            <w:r w:rsidRPr="008B6CCA">
              <w:rPr>
                <w:rFonts w:asciiTheme="minorHAnsi" w:hAnsiTheme="minorHAnsi" w:cstheme="minorHAnsi"/>
              </w:rPr>
              <w:t>To evaluate two digital health interventions for people with type 2 diabetes and respiratory disease.</w:t>
            </w:r>
          </w:p>
          <w:p w14:paraId="2F8A8EDB" w14:textId="77777777" w:rsidR="008B6CCA" w:rsidRPr="008B6CCA" w:rsidRDefault="008B6CCA" w:rsidP="008B6CCA">
            <w:pPr>
              <w:spacing w:before="100" w:beforeAutospacing="1" w:after="100" w:afterAutospacing="1"/>
              <w:jc w:val="both"/>
              <w:textAlignment w:val="baseline"/>
              <w:rPr>
                <w:rFonts w:asciiTheme="minorHAnsi" w:eastAsia="Times New Roman" w:hAnsiTheme="minorHAnsi" w:cstheme="minorHAnsi"/>
                <w:iCs/>
              </w:rPr>
            </w:pPr>
            <w:r w:rsidRPr="008B6CCA">
              <w:rPr>
                <w:rFonts w:asciiTheme="minorHAnsi" w:eastAsia="Times New Roman" w:hAnsiTheme="minorHAnsi" w:cstheme="minorHAnsi"/>
                <w:i/>
                <w:iCs/>
              </w:rPr>
              <w:t xml:space="preserve">Methods: </w:t>
            </w:r>
            <w:r w:rsidRPr="008B6CCA">
              <w:rPr>
                <w:rFonts w:asciiTheme="minorHAnsi" w:eastAsia="Times New Roman" w:hAnsiTheme="minorHAnsi" w:cstheme="minorHAnsi"/>
                <w:iCs/>
              </w:rPr>
              <w:t xml:space="preserve">This PhD will involve three main work streams. </w:t>
            </w:r>
            <w:r w:rsidRPr="008B6CCA">
              <w:rPr>
                <w:rFonts w:asciiTheme="minorHAnsi" w:eastAsia="Times New Roman" w:hAnsiTheme="minorHAnsi" w:cstheme="minorHAnsi"/>
                <w:i/>
                <w:iCs/>
              </w:rPr>
              <w:t>Study One</w:t>
            </w:r>
            <w:r w:rsidRPr="008B6CCA">
              <w:rPr>
                <w:rFonts w:asciiTheme="minorHAnsi" w:eastAsia="Times New Roman" w:hAnsiTheme="minorHAnsi" w:cstheme="minorHAnsi"/>
                <w:iCs/>
              </w:rPr>
              <w:t xml:space="preserve">: Will involve conducting an evaluation of the National (UK and Ireland) implementation of </w:t>
            </w:r>
            <w:proofErr w:type="spellStart"/>
            <w:r w:rsidRPr="008B6CCA">
              <w:rPr>
                <w:rFonts w:asciiTheme="minorHAnsi" w:eastAsia="Times New Roman" w:hAnsiTheme="minorHAnsi" w:cstheme="minorHAnsi"/>
                <w:iCs/>
              </w:rPr>
              <w:t>Mydesmond</w:t>
            </w:r>
            <w:proofErr w:type="spellEnd"/>
            <w:r w:rsidRPr="008B6CCA">
              <w:rPr>
                <w:rFonts w:asciiTheme="minorHAnsi" w:eastAsia="Times New Roman" w:hAnsiTheme="minorHAnsi" w:cstheme="minorHAnsi"/>
                <w:iCs/>
              </w:rPr>
              <w:t xml:space="preserve"> using the RE-AIM (Reach, Effectiveness, Adoption, Implementation and Maintenance) framework. </w:t>
            </w:r>
            <w:r w:rsidRPr="008B6CCA">
              <w:rPr>
                <w:rFonts w:asciiTheme="minorHAnsi" w:eastAsia="Times New Roman" w:hAnsiTheme="minorHAnsi" w:cstheme="minorHAnsi"/>
                <w:i/>
                <w:iCs/>
              </w:rPr>
              <w:t>Study Two</w:t>
            </w:r>
            <w:r w:rsidRPr="008B6CCA">
              <w:rPr>
                <w:rFonts w:asciiTheme="minorHAnsi" w:eastAsia="Times New Roman" w:hAnsiTheme="minorHAnsi" w:cstheme="minorHAnsi"/>
                <w:iCs/>
              </w:rPr>
              <w:t xml:space="preserve">: Will evaluate the uptake and effectiveness of the I-impact programme in comparison to the convention face-to-face PR (all sessions delivered face-to-face). </w:t>
            </w:r>
            <w:r w:rsidRPr="008B6CCA">
              <w:rPr>
                <w:rFonts w:asciiTheme="minorHAnsi" w:eastAsia="Times New Roman" w:hAnsiTheme="minorHAnsi" w:cstheme="minorHAnsi"/>
                <w:i/>
                <w:iCs/>
              </w:rPr>
              <w:t>Study Three</w:t>
            </w:r>
            <w:r w:rsidRPr="008B6CCA">
              <w:rPr>
                <w:rFonts w:asciiTheme="minorHAnsi" w:eastAsia="Times New Roman" w:hAnsiTheme="minorHAnsi" w:cstheme="minorHAnsi"/>
                <w:iCs/>
              </w:rPr>
              <w:t xml:space="preserve">: Will involve conducting interviews with participants in </w:t>
            </w:r>
            <w:proofErr w:type="spellStart"/>
            <w:r w:rsidRPr="008B6CCA">
              <w:rPr>
                <w:rFonts w:asciiTheme="minorHAnsi" w:eastAsia="Times New Roman" w:hAnsiTheme="minorHAnsi" w:cstheme="minorHAnsi"/>
                <w:iCs/>
              </w:rPr>
              <w:t>Mydesmond</w:t>
            </w:r>
            <w:proofErr w:type="spellEnd"/>
            <w:r w:rsidRPr="008B6CCA">
              <w:rPr>
                <w:rFonts w:asciiTheme="minorHAnsi" w:eastAsia="Times New Roman" w:hAnsiTheme="minorHAnsi" w:cstheme="minorHAnsi"/>
                <w:iCs/>
              </w:rPr>
              <w:t xml:space="preserve"> and I-impact to understand their experiences of a digital intervention and explore any barriers to engaging with the digital interventions and areas for improvement.</w:t>
            </w:r>
          </w:p>
          <w:p w14:paraId="7197448B" w14:textId="77777777" w:rsidR="008B6CCA" w:rsidRPr="008B6CCA" w:rsidRDefault="008B6CCA" w:rsidP="008B6CCA">
            <w:pPr>
              <w:spacing w:before="100" w:beforeAutospacing="1" w:after="100" w:afterAutospacing="1"/>
              <w:jc w:val="both"/>
              <w:textAlignment w:val="baseline"/>
              <w:rPr>
                <w:rFonts w:asciiTheme="minorHAnsi" w:eastAsia="Times New Roman" w:hAnsiTheme="minorHAnsi" w:cstheme="minorHAnsi"/>
                <w:iCs/>
              </w:rPr>
            </w:pPr>
            <w:r w:rsidRPr="008B6CCA">
              <w:rPr>
                <w:rFonts w:asciiTheme="minorHAnsi" w:eastAsia="Times New Roman" w:hAnsiTheme="minorHAnsi" w:cstheme="minorHAnsi"/>
                <w:i/>
                <w:iCs/>
              </w:rPr>
              <w:t xml:space="preserve">Expected outcomes and impact: </w:t>
            </w:r>
            <w:r w:rsidRPr="008B6CCA">
              <w:rPr>
                <w:rFonts w:asciiTheme="minorHAnsi" w:eastAsia="Times New Roman" w:hAnsiTheme="minorHAnsi" w:cstheme="minorHAnsi"/>
                <w:iCs/>
              </w:rPr>
              <w:t>We will understand the uptake, impact, and experiences of two digital health programmes for people with type 2 diabetes and respiratory disease and how to improve these to maximise engagement, retention and impact.</w:t>
            </w:r>
          </w:p>
          <w:p w14:paraId="532D724B" w14:textId="77777777" w:rsidR="008B6CCA" w:rsidRPr="008B6CCA" w:rsidRDefault="008B6CCA" w:rsidP="008B6CCA">
            <w:pPr>
              <w:textAlignment w:val="baseline"/>
              <w:rPr>
                <w:rFonts w:asciiTheme="minorHAnsi" w:eastAsia="Times New Roman" w:hAnsiTheme="minorHAnsi" w:cstheme="minorHAnsi"/>
                <w:i/>
                <w:iCs/>
              </w:rPr>
            </w:pPr>
          </w:p>
          <w:p w14:paraId="791035A0" w14:textId="77777777" w:rsidR="009C6C5D" w:rsidRPr="008B6CCA" w:rsidRDefault="009C6C5D" w:rsidP="009C6C5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12EE270E" w14:textId="77777777" w:rsidR="007B76D0" w:rsidRPr="008B6CCA" w:rsidRDefault="007B76D0" w:rsidP="007B76D0">
            <w:pPr>
              <w:textAlignment w:val="baseline"/>
              <w:rPr>
                <w:rFonts w:asciiTheme="minorHAnsi" w:eastAsia="Times New Roman" w:hAnsiTheme="minorHAnsi" w:cstheme="minorHAnsi"/>
              </w:rPr>
            </w:pPr>
          </w:p>
          <w:p w14:paraId="52EFBB87" w14:textId="7E1FB0A7" w:rsidR="006B2AF2" w:rsidRPr="008B6CCA" w:rsidRDefault="006B2AF2" w:rsidP="007B76D0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3A7DAE" w:rsidRPr="008B6CCA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Pr="008B6CCA" w:rsidRDefault="003A7DAE" w:rsidP="001C1AF7">
            <w:pPr>
              <w:rPr>
                <w:rFonts w:asciiTheme="minorHAnsi" w:hAnsiTheme="minorHAnsi" w:cstheme="minorHAnsi"/>
              </w:rPr>
            </w:pPr>
            <w:r w:rsidRPr="008B6CCA">
              <w:rPr>
                <w:rFonts w:asciiTheme="minorHAnsi" w:hAnsiTheme="minorHAnsi" w:cstheme="minorHAnsi"/>
                <w:b/>
              </w:rPr>
              <w:lastRenderedPageBreak/>
              <w:t>References</w:t>
            </w:r>
          </w:p>
        </w:tc>
      </w:tr>
      <w:tr w:rsidR="003A7DAE" w:rsidRPr="008B6CCA" w14:paraId="6D3114C6" w14:textId="77777777" w:rsidTr="00ED69E6">
        <w:tc>
          <w:tcPr>
            <w:tcW w:w="9016" w:type="dxa"/>
            <w:gridSpan w:val="2"/>
          </w:tcPr>
          <w:p w14:paraId="1658F94A" w14:textId="77777777" w:rsidR="008B6CCA" w:rsidRPr="008B6CCA" w:rsidRDefault="008B6CCA" w:rsidP="008B6CCA">
            <w:pPr>
              <w:pStyle w:val="CommentText"/>
              <w:numPr>
                <w:ilvl w:val="0"/>
                <w:numId w:val="12"/>
              </w:numPr>
              <w:rPr>
                <w:rFonts w:cstheme="minorHAnsi"/>
                <w:sz w:val="22"/>
                <w:szCs w:val="22"/>
              </w:rPr>
            </w:pPr>
            <w:proofErr w:type="spellStart"/>
            <w:r w:rsidRPr="008B6CCA">
              <w:rPr>
                <w:rFonts w:cstheme="minorHAnsi"/>
                <w:color w:val="212121"/>
                <w:sz w:val="22"/>
                <w:szCs w:val="22"/>
                <w:shd w:val="clear" w:color="auto" w:fill="FFFFFF"/>
              </w:rPr>
              <w:t>Verweel</w:t>
            </w:r>
            <w:proofErr w:type="spellEnd"/>
            <w:r w:rsidRPr="008B6CCA">
              <w:rPr>
                <w:rFonts w:cstheme="minorHAnsi"/>
                <w:color w:val="212121"/>
                <w:sz w:val="22"/>
                <w:szCs w:val="22"/>
                <w:shd w:val="clear" w:color="auto" w:fill="FFFFFF"/>
              </w:rPr>
              <w:t xml:space="preserve"> L, Newman A, </w:t>
            </w:r>
            <w:proofErr w:type="spellStart"/>
            <w:r w:rsidRPr="008B6CCA">
              <w:rPr>
                <w:rFonts w:cstheme="minorHAnsi"/>
                <w:color w:val="212121"/>
                <w:sz w:val="22"/>
                <w:szCs w:val="22"/>
                <w:shd w:val="clear" w:color="auto" w:fill="FFFFFF"/>
              </w:rPr>
              <w:t>Michaelchuk</w:t>
            </w:r>
            <w:proofErr w:type="spellEnd"/>
            <w:r w:rsidRPr="008B6CCA">
              <w:rPr>
                <w:rFonts w:cstheme="minorHAnsi"/>
                <w:color w:val="212121"/>
                <w:sz w:val="22"/>
                <w:szCs w:val="22"/>
                <w:shd w:val="clear" w:color="auto" w:fill="FFFFFF"/>
              </w:rPr>
              <w:t xml:space="preserve"> W, Packham T, Goldstein R, Brooks D. The effect of digital interventions on related health literacy and skills for individuals living with chronic diseases: A systematic review and meta-analysis. Int J Med Inform. 2023 </w:t>
            </w:r>
            <w:proofErr w:type="gramStart"/>
            <w:r w:rsidRPr="008B6CCA">
              <w:rPr>
                <w:rFonts w:cstheme="minorHAnsi"/>
                <w:color w:val="212121"/>
                <w:sz w:val="22"/>
                <w:szCs w:val="22"/>
                <w:shd w:val="clear" w:color="auto" w:fill="FFFFFF"/>
              </w:rPr>
              <w:t>Sep;177:105114</w:t>
            </w:r>
            <w:proofErr w:type="gramEnd"/>
            <w:r w:rsidRPr="008B6CCA">
              <w:rPr>
                <w:rFonts w:cstheme="minorHAnsi"/>
                <w:color w:val="212121"/>
                <w:sz w:val="22"/>
                <w:szCs w:val="22"/>
                <w:shd w:val="clear" w:color="auto" w:fill="FFFFFF"/>
              </w:rPr>
              <w:t>. </w:t>
            </w:r>
          </w:p>
          <w:p w14:paraId="6E6036D0" w14:textId="77777777" w:rsidR="008B6CCA" w:rsidRPr="008B6CCA" w:rsidRDefault="008B6CCA" w:rsidP="008B6CCA">
            <w:pPr>
              <w:pStyle w:val="CommentText"/>
              <w:numPr>
                <w:ilvl w:val="0"/>
                <w:numId w:val="12"/>
              </w:numPr>
              <w:rPr>
                <w:rFonts w:cstheme="minorHAnsi"/>
                <w:sz w:val="22"/>
                <w:szCs w:val="22"/>
              </w:rPr>
            </w:pPr>
            <w:proofErr w:type="spellStart"/>
            <w:r w:rsidRPr="008B6CCA">
              <w:rPr>
                <w:rFonts w:cstheme="minorHAnsi"/>
                <w:color w:val="1B1B1B"/>
                <w:sz w:val="22"/>
                <w:szCs w:val="22"/>
                <w:shd w:val="clear" w:color="auto" w:fill="FFFFFF"/>
              </w:rPr>
              <w:t>Wienert</w:t>
            </w:r>
            <w:proofErr w:type="spellEnd"/>
            <w:r w:rsidRPr="008B6CCA">
              <w:rPr>
                <w:rFonts w:cstheme="minorHAnsi"/>
                <w:color w:val="1B1B1B"/>
                <w:sz w:val="22"/>
                <w:szCs w:val="22"/>
                <w:shd w:val="clear" w:color="auto" w:fill="FFFFFF"/>
              </w:rPr>
              <w:t xml:space="preserve"> J, </w:t>
            </w:r>
            <w:proofErr w:type="spellStart"/>
            <w:r w:rsidRPr="008B6CCA">
              <w:rPr>
                <w:rFonts w:cstheme="minorHAnsi"/>
                <w:color w:val="1B1B1B"/>
                <w:sz w:val="22"/>
                <w:szCs w:val="22"/>
                <w:shd w:val="clear" w:color="auto" w:fill="FFFFFF"/>
              </w:rPr>
              <w:t>Jahnel</w:t>
            </w:r>
            <w:proofErr w:type="spellEnd"/>
            <w:r w:rsidRPr="008B6CCA">
              <w:rPr>
                <w:rFonts w:cstheme="minorHAnsi"/>
                <w:color w:val="1B1B1B"/>
                <w:sz w:val="22"/>
                <w:szCs w:val="22"/>
                <w:shd w:val="clear" w:color="auto" w:fill="FFFFFF"/>
              </w:rPr>
              <w:t xml:space="preserve"> T, </w:t>
            </w:r>
            <w:proofErr w:type="spellStart"/>
            <w:r w:rsidRPr="008B6CCA">
              <w:rPr>
                <w:rFonts w:cstheme="minorHAnsi"/>
                <w:color w:val="1B1B1B"/>
                <w:sz w:val="22"/>
                <w:szCs w:val="22"/>
                <w:shd w:val="clear" w:color="auto" w:fill="FFFFFF"/>
              </w:rPr>
              <w:t>Maaß</w:t>
            </w:r>
            <w:proofErr w:type="spellEnd"/>
            <w:r w:rsidRPr="008B6CCA">
              <w:rPr>
                <w:rFonts w:cstheme="minorHAnsi"/>
                <w:color w:val="1B1B1B"/>
                <w:sz w:val="22"/>
                <w:szCs w:val="22"/>
                <w:shd w:val="clear" w:color="auto" w:fill="FFFFFF"/>
              </w:rPr>
              <w:t xml:space="preserve"> L. What are digital public health interventions? First steps toward a definition and an intervention classification framework. J Med Internet Res. 2022;24(6</w:t>
            </w:r>
            <w:proofErr w:type="gramStart"/>
            <w:r w:rsidRPr="008B6CCA">
              <w:rPr>
                <w:rFonts w:cstheme="minorHAnsi"/>
                <w:color w:val="1B1B1B"/>
                <w:sz w:val="22"/>
                <w:szCs w:val="22"/>
                <w:shd w:val="clear" w:color="auto" w:fill="FFFFFF"/>
              </w:rPr>
              <w:t>):e</w:t>
            </w:r>
            <w:proofErr w:type="gramEnd"/>
            <w:r w:rsidRPr="008B6CCA">
              <w:rPr>
                <w:rFonts w:cstheme="minorHAnsi"/>
                <w:color w:val="1B1B1B"/>
                <w:sz w:val="22"/>
                <w:szCs w:val="22"/>
                <w:shd w:val="clear" w:color="auto" w:fill="FFFFFF"/>
              </w:rPr>
              <w:t>31921. </w:t>
            </w:r>
          </w:p>
          <w:p w14:paraId="7C23CCD5" w14:textId="77777777" w:rsidR="008B6CCA" w:rsidRPr="008B6CCA" w:rsidRDefault="008B6CCA" w:rsidP="008B6CCA">
            <w:pPr>
              <w:pStyle w:val="CommentText"/>
              <w:numPr>
                <w:ilvl w:val="0"/>
                <w:numId w:val="12"/>
              </w:numPr>
              <w:rPr>
                <w:rFonts w:cstheme="minorHAnsi"/>
                <w:sz w:val="22"/>
                <w:szCs w:val="22"/>
              </w:rPr>
            </w:pPr>
            <w:r w:rsidRPr="008B6CCA">
              <w:rPr>
                <w:rFonts w:cstheme="minorHAnsi"/>
                <w:color w:val="212121"/>
                <w:sz w:val="22"/>
                <w:szCs w:val="22"/>
                <w:shd w:val="clear" w:color="auto" w:fill="FFFFFF"/>
              </w:rPr>
              <w:t xml:space="preserve">Hadjiconstantinou M, Schreder S, Brough C, Northern A, Stribling B, Khunti K, Davies MJ. Using Intervention Mapping to Develop a Digital Self-Management Program for People </w:t>
            </w:r>
            <w:proofErr w:type="gramStart"/>
            <w:r w:rsidRPr="008B6CCA">
              <w:rPr>
                <w:rFonts w:cstheme="minorHAnsi"/>
                <w:color w:val="212121"/>
                <w:sz w:val="22"/>
                <w:szCs w:val="22"/>
                <w:shd w:val="clear" w:color="auto" w:fill="FFFFFF"/>
              </w:rPr>
              <w:t>With</w:t>
            </w:r>
            <w:proofErr w:type="gramEnd"/>
            <w:r w:rsidRPr="008B6CCA">
              <w:rPr>
                <w:rFonts w:cstheme="minorHAnsi"/>
                <w:color w:val="212121"/>
                <w:sz w:val="22"/>
                <w:szCs w:val="22"/>
                <w:shd w:val="clear" w:color="auto" w:fill="FFFFFF"/>
              </w:rPr>
              <w:t xml:space="preserve"> Type 2 Diabetes: Tutorial on </w:t>
            </w:r>
            <w:proofErr w:type="spellStart"/>
            <w:r w:rsidRPr="008B6CCA">
              <w:rPr>
                <w:rFonts w:cstheme="minorHAnsi"/>
                <w:color w:val="212121"/>
                <w:sz w:val="22"/>
                <w:szCs w:val="22"/>
                <w:shd w:val="clear" w:color="auto" w:fill="FFFFFF"/>
              </w:rPr>
              <w:t>MyDESMOND</w:t>
            </w:r>
            <w:proofErr w:type="spellEnd"/>
            <w:r w:rsidRPr="008B6CCA">
              <w:rPr>
                <w:rFonts w:cstheme="minorHAnsi"/>
                <w:color w:val="212121"/>
                <w:sz w:val="22"/>
                <w:szCs w:val="22"/>
                <w:shd w:val="clear" w:color="auto" w:fill="FFFFFF"/>
              </w:rPr>
              <w:t>. J Med Internet Res. 2020 May 11;22(5</w:t>
            </w:r>
            <w:proofErr w:type="gramStart"/>
            <w:r w:rsidRPr="008B6CCA">
              <w:rPr>
                <w:rFonts w:cstheme="minorHAnsi"/>
                <w:color w:val="212121"/>
                <w:sz w:val="22"/>
                <w:szCs w:val="22"/>
                <w:shd w:val="clear" w:color="auto" w:fill="FFFFFF"/>
              </w:rPr>
              <w:t>):e</w:t>
            </w:r>
            <w:proofErr w:type="gramEnd"/>
            <w:r w:rsidRPr="008B6CCA">
              <w:rPr>
                <w:rFonts w:cstheme="minorHAnsi"/>
                <w:color w:val="212121"/>
                <w:sz w:val="22"/>
                <w:szCs w:val="22"/>
                <w:shd w:val="clear" w:color="auto" w:fill="FFFFFF"/>
              </w:rPr>
              <w:t xml:space="preserve">17316. </w:t>
            </w:r>
            <w:proofErr w:type="spellStart"/>
            <w:r w:rsidRPr="008B6CCA">
              <w:rPr>
                <w:rFonts w:cstheme="minorHAnsi"/>
                <w:color w:val="212121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Pr="008B6CCA">
              <w:rPr>
                <w:rFonts w:cstheme="minorHAnsi"/>
                <w:color w:val="212121"/>
                <w:sz w:val="22"/>
                <w:szCs w:val="22"/>
                <w:shd w:val="clear" w:color="auto" w:fill="FFFFFF"/>
              </w:rPr>
              <w:t>: 10.2196/17316.</w:t>
            </w:r>
          </w:p>
          <w:p w14:paraId="04761094" w14:textId="77777777" w:rsidR="008B6CCA" w:rsidRPr="008B6CCA" w:rsidRDefault="008B6CCA" w:rsidP="008B6CCA">
            <w:pPr>
              <w:pStyle w:val="CommentText"/>
              <w:numPr>
                <w:ilvl w:val="0"/>
                <w:numId w:val="12"/>
              </w:numPr>
              <w:rPr>
                <w:rFonts w:cstheme="minorHAnsi"/>
                <w:sz w:val="22"/>
                <w:szCs w:val="22"/>
              </w:rPr>
            </w:pPr>
            <w:r w:rsidRPr="008B6CCA">
              <w:rPr>
                <w:rFonts w:cstheme="minorHAnsi"/>
                <w:color w:val="212121"/>
                <w:sz w:val="22"/>
                <w:szCs w:val="22"/>
                <w:shd w:val="clear" w:color="auto" w:fill="FFFFFF"/>
              </w:rPr>
              <w:lastRenderedPageBreak/>
              <w:t>Barker MM, Chauhan R, Davies MJ, Brough C, Northern A, Stribling B, Schreder S, Khunti K, Hadjiconstantinou M. User Retention and Engagement in the Digital-Based Diabetes Education and Self-Management for Ongoing and Newly Diagnosed (</w:t>
            </w:r>
            <w:proofErr w:type="spellStart"/>
            <w:r w:rsidRPr="008B6CCA">
              <w:rPr>
                <w:rFonts w:cstheme="minorHAnsi"/>
                <w:color w:val="212121"/>
                <w:sz w:val="22"/>
                <w:szCs w:val="22"/>
                <w:shd w:val="clear" w:color="auto" w:fill="FFFFFF"/>
              </w:rPr>
              <w:t>myDESMOND</w:t>
            </w:r>
            <w:proofErr w:type="spellEnd"/>
            <w:r w:rsidRPr="008B6CCA">
              <w:rPr>
                <w:rFonts w:cstheme="minorHAnsi"/>
                <w:color w:val="212121"/>
                <w:sz w:val="22"/>
                <w:szCs w:val="22"/>
                <w:shd w:val="clear" w:color="auto" w:fill="FFFFFF"/>
              </w:rPr>
              <w:t>) Program: Descriptive Longitudinal Study. JMIR Diabetes. 2023 Jul 21;</w:t>
            </w:r>
            <w:proofErr w:type="gramStart"/>
            <w:r w:rsidRPr="008B6CCA">
              <w:rPr>
                <w:rFonts w:cstheme="minorHAnsi"/>
                <w:color w:val="212121"/>
                <w:sz w:val="22"/>
                <w:szCs w:val="22"/>
                <w:shd w:val="clear" w:color="auto" w:fill="FFFFFF"/>
              </w:rPr>
              <w:t>8:e</w:t>
            </w:r>
            <w:proofErr w:type="gramEnd"/>
            <w:r w:rsidRPr="008B6CCA">
              <w:rPr>
                <w:rFonts w:cstheme="minorHAnsi"/>
                <w:color w:val="212121"/>
                <w:sz w:val="22"/>
                <w:szCs w:val="22"/>
                <w:shd w:val="clear" w:color="auto" w:fill="FFFFFF"/>
              </w:rPr>
              <w:t xml:space="preserve">44943. </w:t>
            </w:r>
            <w:proofErr w:type="spellStart"/>
            <w:r w:rsidRPr="008B6CCA">
              <w:rPr>
                <w:rFonts w:cstheme="minorHAnsi"/>
                <w:color w:val="212121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Pr="008B6CCA">
              <w:rPr>
                <w:rFonts w:cstheme="minorHAnsi"/>
                <w:color w:val="212121"/>
                <w:sz w:val="22"/>
                <w:szCs w:val="22"/>
                <w:shd w:val="clear" w:color="auto" w:fill="FFFFFF"/>
              </w:rPr>
              <w:t>: 10.2196/44943. </w:t>
            </w:r>
          </w:p>
          <w:p w14:paraId="4066A15B" w14:textId="77777777" w:rsidR="008B6CCA" w:rsidRPr="008B6CCA" w:rsidRDefault="008B6CCA" w:rsidP="008B6CCA">
            <w:pPr>
              <w:pStyle w:val="CommentText"/>
              <w:numPr>
                <w:ilvl w:val="0"/>
                <w:numId w:val="12"/>
              </w:numPr>
              <w:rPr>
                <w:rFonts w:cstheme="minorHAnsi"/>
                <w:sz w:val="22"/>
                <w:szCs w:val="22"/>
              </w:rPr>
            </w:pPr>
            <w:r w:rsidRPr="008B6CCA">
              <w:rPr>
                <w:rFonts w:cstheme="minorHAnsi"/>
                <w:sz w:val="22"/>
                <w:szCs w:val="22"/>
              </w:rPr>
              <w:t xml:space="preserve">Man W, Chaplin E, </w:t>
            </w:r>
            <w:proofErr w:type="spellStart"/>
            <w:r w:rsidRPr="008B6CCA">
              <w:rPr>
                <w:rFonts w:cstheme="minorHAnsi"/>
                <w:sz w:val="22"/>
                <w:szCs w:val="22"/>
              </w:rPr>
              <w:t>Daynes</w:t>
            </w:r>
            <w:proofErr w:type="spellEnd"/>
            <w:r w:rsidRPr="008B6CCA">
              <w:rPr>
                <w:rFonts w:cstheme="minorHAnsi"/>
                <w:sz w:val="22"/>
                <w:szCs w:val="22"/>
              </w:rPr>
              <w:t xml:space="preserve"> E, Drummond A, Evans RA, Greening NJ, Nolan C, Pavitt MJ, Roberts NJ, </w:t>
            </w:r>
            <w:proofErr w:type="spellStart"/>
            <w:r w:rsidRPr="008B6CCA">
              <w:rPr>
                <w:rFonts w:cstheme="minorHAnsi"/>
                <w:sz w:val="22"/>
                <w:szCs w:val="22"/>
              </w:rPr>
              <w:t>Vogiatzis</w:t>
            </w:r>
            <w:proofErr w:type="spellEnd"/>
            <w:r w:rsidRPr="008B6CCA">
              <w:rPr>
                <w:rFonts w:cstheme="minorHAnsi"/>
                <w:sz w:val="22"/>
                <w:szCs w:val="22"/>
              </w:rPr>
              <w:t xml:space="preserve"> I, Singh SJ. British Thoracic Society Clinical Statement on pulmonary rehabilitation. Thorax. 2023 Oct;78(</w:t>
            </w:r>
            <w:proofErr w:type="spellStart"/>
            <w:r w:rsidRPr="008B6CCA">
              <w:rPr>
                <w:rFonts w:cstheme="minorHAnsi"/>
                <w:sz w:val="22"/>
                <w:szCs w:val="22"/>
              </w:rPr>
              <w:t>Suppl</w:t>
            </w:r>
            <w:proofErr w:type="spellEnd"/>
            <w:r w:rsidRPr="008B6CCA">
              <w:rPr>
                <w:rFonts w:cstheme="minorHAnsi"/>
                <w:sz w:val="22"/>
                <w:szCs w:val="22"/>
              </w:rPr>
              <w:t xml:space="preserve"> 4</w:t>
            </w:r>
            <w:proofErr w:type="gramStart"/>
            <w:r w:rsidRPr="008B6CCA">
              <w:rPr>
                <w:rFonts w:cstheme="minorHAnsi"/>
                <w:sz w:val="22"/>
                <w:szCs w:val="22"/>
              </w:rPr>
              <w:t>):s</w:t>
            </w:r>
            <w:proofErr w:type="gramEnd"/>
            <w:r w:rsidRPr="008B6CCA">
              <w:rPr>
                <w:rFonts w:cstheme="minorHAnsi"/>
                <w:sz w:val="22"/>
                <w:szCs w:val="22"/>
              </w:rPr>
              <w:t xml:space="preserve">2-s15. </w:t>
            </w:r>
            <w:proofErr w:type="spellStart"/>
            <w:r w:rsidRPr="008B6CCA">
              <w:rPr>
                <w:rFonts w:cstheme="minorHAnsi"/>
                <w:sz w:val="22"/>
                <w:szCs w:val="22"/>
              </w:rPr>
              <w:t>doi</w:t>
            </w:r>
            <w:proofErr w:type="spellEnd"/>
            <w:r w:rsidRPr="008B6CCA">
              <w:rPr>
                <w:rFonts w:cstheme="minorHAnsi"/>
                <w:sz w:val="22"/>
                <w:szCs w:val="22"/>
              </w:rPr>
              <w:t>: 10.1136/thorax-2023-220439. PMID: 37770084.</w:t>
            </w:r>
          </w:p>
          <w:p w14:paraId="3C49049D" w14:textId="77777777" w:rsidR="008B6CCA" w:rsidRPr="008B6CCA" w:rsidRDefault="008B6CCA" w:rsidP="008B6CCA">
            <w:pPr>
              <w:pStyle w:val="CommentText"/>
              <w:numPr>
                <w:ilvl w:val="0"/>
                <w:numId w:val="12"/>
              </w:numPr>
              <w:rPr>
                <w:rFonts w:cstheme="minorHAnsi"/>
                <w:sz w:val="22"/>
                <w:szCs w:val="22"/>
              </w:rPr>
            </w:pPr>
            <w:r w:rsidRPr="008B6CCA">
              <w:rPr>
                <w:rFonts w:cstheme="minorHAnsi"/>
                <w:sz w:val="22"/>
                <w:szCs w:val="22"/>
              </w:rPr>
              <w:t>National Institute for Clinical Excellence Digital technologies to deliver pulmonary rehabilitation programmes for adults with COPD: early value assessment 2024 [online] available from https://www.nice.org.uk/guidance/indevelopment/gid-hte10019/documents</w:t>
            </w:r>
          </w:p>
          <w:p w14:paraId="25798A07" w14:textId="721ADEB3" w:rsidR="00E1315C" w:rsidRPr="008B6CCA" w:rsidRDefault="00E1315C" w:rsidP="00E131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4CC99A4B" w14:textId="66E5AAA0" w:rsidR="003A7DAE" w:rsidRPr="008B6CCA" w:rsidRDefault="003A7DAE" w:rsidP="00384C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FEF6135" w14:textId="77777777" w:rsidR="00066C81" w:rsidRPr="008B6CCA" w:rsidRDefault="00066C81" w:rsidP="00066C81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1D713C9F" w14:textId="77777777" w:rsidR="00066C81" w:rsidRPr="008B6CCA" w:rsidRDefault="00066C81" w:rsidP="00066C81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sectPr w:rsidR="00066C81" w:rsidRPr="008B6CCA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9C5"/>
    <w:multiLevelType w:val="hybridMultilevel"/>
    <w:tmpl w:val="CADCE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742D"/>
    <w:multiLevelType w:val="hybridMultilevel"/>
    <w:tmpl w:val="2656066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0911"/>
    <w:multiLevelType w:val="hybridMultilevel"/>
    <w:tmpl w:val="F4203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7851"/>
    <w:multiLevelType w:val="hybridMultilevel"/>
    <w:tmpl w:val="B5283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463F4"/>
    <w:multiLevelType w:val="hybridMultilevel"/>
    <w:tmpl w:val="7A2E9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22114"/>
    <w:multiLevelType w:val="hybridMultilevel"/>
    <w:tmpl w:val="FCDE86A0"/>
    <w:lvl w:ilvl="0" w:tplc="5CAE1380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5A2C07F2"/>
    <w:multiLevelType w:val="hybridMultilevel"/>
    <w:tmpl w:val="0E40E9D2"/>
    <w:lvl w:ilvl="0" w:tplc="39E221B8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4365A0"/>
    <w:multiLevelType w:val="hybridMultilevel"/>
    <w:tmpl w:val="BA700820"/>
    <w:lvl w:ilvl="0" w:tplc="4FB42250">
      <w:start w:val="2"/>
      <w:numFmt w:val="decimal"/>
      <w:lvlText w:val="%1."/>
      <w:lvlJc w:val="left"/>
      <w:pPr>
        <w:ind w:left="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9D4A91E">
      <w:numFmt w:val="bullet"/>
      <w:lvlText w:val="•"/>
      <w:lvlJc w:val="left"/>
      <w:pPr>
        <w:ind w:left="907" w:hanging="720"/>
      </w:pPr>
      <w:rPr>
        <w:rFonts w:hint="default"/>
        <w:lang w:val="en-US" w:eastAsia="en-US" w:bidi="ar-SA"/>
      </w:rPr>
    </w:lvl>
    <w:lvl w:ilvl="2" w:tplc="705AA274">
      <w:numFmt w:val="bullet"/>
      <w:lvlText w:val="•"/>
      <w:lvlJc w:val="left"/>
      <w:pPr>
        <w:ind w:left="1814" w:hanging="720"/>
      </w:pPr>
      <w:rPr>
        <w:rFonts w:hint="default"/>
        <w:lang w:val="en-US" w:eastAsia="en-US" w:bidi="ar-SA"/>
      </w:rPr>
    </w:lvl>
    <w:lvl w:ilvl="3" w:tplc="D27C6E5C"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4" w:tplc="5AC24CAA">
      <w:numFmt w:val="bullet"/>
      <w:lvlText w:val="•"/>
      <w:lvlJc w:val="left"/>
      <w:pPr>
        <w:ind w:left="3629" w:hanging="720"/>
      </w:pPr>
      <w:rPr>
        <w:rFonts w:hint="default"/>
        <w:lang w:val="en-US" w:eastAsia="en-US" w:bidi="ar-SA"/>
      </w:rPr>
    </w:lvl>
    <w:lvl w:ilvl="5" w:tplc="645452D6">
      <w:numFmt w:val="bullet"/>
      <w:lvlText w:val="•"/>
      <w:lvlJc w:val="left"/>
      <w:pPr>
        <w:ind w:left="4536" w:hanging="720"/>
      </w:pPr>
      <w:rPr>
        <w:rFonts w:hint="default"/>
        <w:lang w:val="en-US" w:eastAsia="en-US" w:bidi="ar-SA"/>
      </w:rPr>
    </w:lvl>
    <w:lvl w:ilvl="6" w:tplc="31BEA808">
      <w:numFmt w:val="bullet"/>
      <w:lvlText w:val="•"/>
      <w:lvlJc w:val="left"/>
      <w:pPr>
        <w:ind w:left="5443" w:hanging="720"/>
      </w:pPr>
      <w:rPr>
        <w:rFonts w:hint="default"/>
        <w:lang w:val="en-US" w:eastAsia="en-US" w:bidi="ar-SA"/>
      </w:rPr>
    </w:lvl>
    <w:lvl w:ilvl="7" w:tplc="B4FEFFE4">
      <w:numFmt w:val="bullet"/>
      <w:lvlText w:val="•"/>
      <w:lvlJc w:val="left"/>
      <w:pPr>
        <w:ind w:left="6350" w:hanging="720"/>
      </w:pPr>
      <w:rPr>
        <w:rFonts w:hint="default"/>
        <w:lang w:val="en-US" w:eastAsia="en-US" w:bidi="ar-SA"/>
      </w:rPr>
    </w:lvl>
    <w:lvl w:ilvl="8" w:tplc="69CC0FDA">
      <w:numFmt w:val="bullet"/>
      <w:lvlText w:val="•"/>
      <w:lvlJc w:val="left"/>
      <w:pPr>
        <w:ind w:left="7258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66631F8C"/>
    <w:multiLevelType w:val="hybridMultilevel"/>
    <w:tmpl w:val="D864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458A1"/>
    <w:multiLevelType w:val="hybridMultilevel"/>
    <w:tmpl w:val="6BF621D8"/>
    <w:lvl w:ilvl="0" w:tplc="2AEE5C3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121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66C81"/>
    <w:rsid w:val="000D3D42"/>
    <w:rsid w:val="00384C5A"/>
    <w:rsid w:val="003A7DAE"/>
    <w:rsid w:val="00437E7E"/>
    <w:rsid w:val="004E665D"/>
    <w:rsid w:val="004F32E0"/>
    <w:rsid w:val="005D7480"/>
    <w:rsid w:val="00640C92"/>
    <w:rsid w:val="006B2AF2"/>
    <w:rsid w:val="00761F61"/>
    <w:rsid w:val="00767E66"/>
    <w:rsid w:val="00771BF5"/>
    <w:rsid w:val="007B76D0"/>
    <w:rsid w:val="00803EC8"/>
    <w:rsid w:val="00850BDA"/>
    <w:rsid w:val="008B6CCA"/>
    <w:rsid w:val="008E267D"/>
    <w:rsid w:val="0092013B"/>
    <w:rsid w:val="009C47A8"/>
    <w:rsid w:val="009C6C5D"/>
    <w:rsid w:val="00A83104"/>
    <w:rsid w:val="00AE49DF"/>
    <w:rsid w:val="00B82E09"/>
    <w:rsid w:val="00BA5EC2"/>
    <w:rsid w:val="00BB70D0"/>
    <w:rsid w:val="00BD5F21"/>
    <w:rsid w:val="00C13E6D"/>
    <w:rsid w:val="00CF1E32"/>
    <w:rsid w:val="00E1315C"/>
    <w:rsid w:val="00E553BA"/>
    <w:rsid w:val="00E908FE"/>
    <w:rsid w:val="00F8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384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2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67D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67D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908FE"/>
    <w:rPr>
      <w:rFonts w:ascii="Calibri" w:eastAsia="Calibri" w:hAnsi="Calibri" w:cs="Calibri"/>
      <w:color w:val="000000"/>
      <w:lang w:eastAsia="en-GB"/>
    </w:rPr>
  </w:style>
  <w:style w:type="character" w:customStyle="1" w:styleId="ref-title">
    <w:name w:val="ref-title"/>
    <w:basedOn w:val="DefaultParagraphFont"/>
    <w:rsid w:val="00BA5EC2"/>
  </w:style>
  <w:style w:type="character" w:customStyle="1" w:styleId="ref-journal">
    <w:name w:val="ref-journal"/>
    <w:basedOn w:val="DefaultParagraphFont"/>
    <w:rsid w:val="00BA5EC2"/>
  </w:style>
  <w:style w:type="character" w:customStyle="1" w:styleId="ref-vol">
    <w:name w:val="ref-vol"/>
    <w:basedOn w:val="DefaultParagraphFont"/>
    <w:rsid w:val="00BA5EC2"/>
  </w:style>
  <w:style w:type="character" w:customStyle="1" w:styleId="ref-iss">
    <w:name w:val="ref-iss"/>
    <w:basedOn w:val="DefaultParagraphFont"/>
    <w:rsid w:val="00BA5EC2"/>
  </w:style>
  <w:style w:type="character" w:customStyle="1" w:styleId="mixed-citation">
    <w:name w:val="mixed-citation"/>
    <w:basedOn w:val="DefaultParagraphFont"/>
    <w:rsid w:val="00BA5EC2"/>
  </w:style>
  <w:style w:type="paragraph" w:styleId="BodyText">
    <w:name w:val="Body Text"/>
    <w:basedOn w:val="Normal"/>
    <w:link w:val="BodyTextChar"/>
    <w:uiPriority w:val="1"/>
    <w:qFormat/>
    <w:rsid w:val="00771BF5"/>
    <w:pPr>
      <w:widowControl w:val="0"/>
      <w:autoSpaceDE w:val="0"/>
      <w:autoSpaceDN w:val="0"/>
      <w:spacing w:after="0" w:line="240" w:lineRule="auto"/>
    </w:pPr>
    <w:rPr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71BF5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771BF5"/>
    <w:pPr>
      <w:widowControl w:val="0"/>
      <w:autoSpaceDE w:val="0"/>
      <w:autoSpaceDN w:val="0"/>
      <w:spacing w:before="1" w:after="0" w:line="240" w:lineRule="auto"/>
      <w:ind w:left="244" w:hanging="238"/>
    </w:pPr>
    <w:rPr>
      <w:color w:val="auto"/>
      <w:lang w:val="en-US" w:eastAsia="en-US"/>
    </w:rPr>
  </w:style>
  <w:style w:type="paragraph" w:customStyle="1" w:styleId="Default">
    <w:name w:val="Default"/>
    <w:rsid w:val="00A831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kciteavail">
    <w:name w:val="bk_cite_avail"/>
    <w:basedOn w:val="DefaultParagraphFont"/>
    <w:rsid w:val="009C6C5D"/>
  </w:style>
  <w:style w:type="character" w:customStyle="1" w:styleId="EndNoteBibliographyChar">
    <w:name w:val="EndNote Bibliography Char"/>
    <w:basedOn w:val="DefaultParagraphFont"/>
    <w:link w:val="EndNoteBibliography"/>
    <w:locked/>
    <w:rsid w:val="00E1315C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1315C"/>
    <w:pPr>
      <w:spacing w:line="240" w:lineRule="auto"/>
    </w:pPr>
    <w:rPr>
      <w:rFonts w:eastAsiaTheme="minorHAnsi"/>
      <w:noProof/>
      <w:color w:val="auto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84C5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ormaltextrun">
    <w:name w:val="normaltextrun"/>
    <w:basedOn w:val="DefaultParagraphFont"/>
    <w:rsid w:val="00384C5A"/>
  </w:style>
  <w:style w:type="character" w:customStyle="1" w:styleId="eop">
    <w:name w:val="eop"/>
    <w:basedOn w:val="DefaultParagraphFont"/>
    <w:rsid w:val="0038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207@leicest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White, Karen L.</cp:lastModifiedBy>
  <cp:revision>2</cp:revision>
  <dcterms:created xsi:type="dcterms:W3CDTF">2024-12-18T15:15:00Z</dcterms:created>
  <dcterms:modified xsi:type="dcterms:W3CDTF">2024-12-18T15:15:00Z</dcterms:modified>
</cp:coreProperties>
</file>