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7E72F9" w:rsidRDefault="00AE49DF" w:rsidP="00066C81">
      <w:pPr>
        <w:spacing w:after="0" w:line="240" w:lineRule="auto"/>
        <w:rPr>
          <w:rFonts w:asciiTheme="minorHAnsi" w:hAnsiTheme="minorHAnsi" w:cstheme="minorHAnsi"/>
          <w:b/>
          <w:bCs/>
          <w:color w:val="auto"/>
        </w:rPr>
      </w:pPr>
    </w:p>
    <w:p w14:paraId="44BD011A" w14:textId="4DE235DC" w:rsidR="008E267D" w:rsidRPr="007E72F9" w:rsidRDefault="008E267D" w:rsidP="00850BDA">
      <w:pPr>
        <w:autoSpaceDE w:val="0"/>
        <w:autoSpaceDN w:val="0"/>
        <w:adjustRightInd w:val="0"/>
        <w:spacing w:after="0" w:line="240" w:lineRule="auto"/>
        <w:rPr>
          <w:rFonts w:asciiTheme="minorHAnsi" w:hAnsiTheme="minorHAnsi" w:cstheme="minorHAnsi"/>
          <w:b/>
          <w:bCs/>
          <w:color w:val="auto"/>
        </w:rPr>
      </w:pPr>
      <w:r w:rsidRPr="007E72F9">
        <w:rPr>
          <w:rFonts w:asciiTheme="minorHAnsi" w:hAnsiTheme="minorHAnsi" w:cstheme="minorHAnsi"/>
          <w:b/>
          <w:bCs/>
          <w:color w:val="auto"/>
        </w:rPr>
        <w:t>LEICESTER LIFESTYLE AND HEALTH RESEARCH GROUP</w:t>
      </w:r>
    </w:p>
    <w:p w14:paraId="7A391F92" w14:textId="77777777" w:rsidR="007E72F9" w:rsidRPr="007E72F9" w:rsidRDefault="007E72F9" w:rsidP="00850BDA">
      <w:pPr>
        <w:autoSpaceDE w:val="0"/>
        <w:autoSpaceDN w:val="0"/>
        <w:adjustRightInd w:val="0"/>
        <w:spacing w:after="0" w:line="240" w:lineRule="auto"/>
        <w:rPr>
          <w:rFonts w:asciiTheme="minorHAnsi" w:eastAsiaTheme="minorHAnsi" w:hAnsiTheme="minorHAnsi" w:cstheme="minorHAnsi"/>
          <w:b/>
          <w:bCs/>
          <w:color w:val="auto"/>
        </w:rPr>
      </w:pPr>
    </w:p>
    <w:p w14:paraId="2B7F88A4" w14:textId="3410DAE0" w:rsidR="008E267D" w:rsidRPr="007E72F9" w:rsidRDefault="00850BDA" w:rsidP="00066C81">
      <w:pPr>
        <w:spacing w:after="0" w:line="240" w:lineRule="auto"/>
        <w:rPr>
          <w:rFonts w:asciiTheme="minorHAnsi" w:hAnsiTheme="minorHAnsi" w:cstheme="minorHAnsi"/>
          <w:b/>
          <w:bCs/>
          <w:color w:val="auto"/>
        </w:rPr>
      </w:pPr>
      <w:r w:rsidRPr="007E72F9">
        <w:rPr>
          <w:rFonts w:asciiTheme="minorHAnsi" w:hAnsiTheme="minorHAnsi" w:cstheme="minorHAnsi"/>
          <w:b/>
          <w:bCs/>
          <w:color w:val="auto"/>
        </w:rPr>
        <w:t>Human Activity Recognition using Self-supervised learning AI Architectures for Wearable Accelerometers in Free-Living Scenarios</w:t>
      </w:r>
    </w:p>
    <w:p w14:paraId="482D9E85" w14:textId="77777777" w:rsidR="00AE49DF" w:rsidRPr="007E72F9" w:rsidRDefault="00AE49DF" w:rsidP="00066C81">
      <w:pPr>
        <w:spacing w:after="0" w:line="240" w:lineRule="auto"/>
        <w:rPr>
          <w:rFonts w:asciiTheme="minorHAnsi" w:hAnsiTheme="minorHAnsi" w:cstheme="minorHAnsi"/>
          <w:b/>
          <w:bCs/>
          <w:color w:val="auto"/>
        </w:rPr>
      </w:pPr>
    </w:p>
    <w:p w14:paraId="1F075E5A" w14:textId="77777777" w:rsidR="00066C81" w:rsidRPr="007E72F9"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7E72F9" w:rsidRPr="007E72F9" w14:paraId="02121747" w14:textId="77777777" w:rsidTr="00ED69E6">
        <w:tc>
          <w:tcPr>
            <w:tcW w:w="3227" w:type="dxa"/>
            <w:shd w:val="clear" w:color="auto" w:fill="F2F2F2" w:themeFill="background1" w:themeFillShade="F2"/>
          </w:tcPr>
          <w:p w14:paraId="78BB6E55" w14:textId="77777777" w:rsidR="00066C81" w:rsidRPr="007E72F9" w:rsidRDefault="00066C81" w:rsidP="00066C81">
            <w:pPr>
              <w:rPr>
                <w:rFonts w:asciiTheme="minorHAnsi" w:hAnsiTheme="minorHAnsi" w:cstheme="minorHAnsi"/>
                <w:b/>
                <w:color w:val="auto"/>
              </w:rPr>
            </w:pPr>
            <w:r w:rsidRPr="007E72F9">
              <w:rPr>
                <w:rFonts w:asciiTheme="minorHAnsi" w:hAnsiTheme="minorHAnsi" w:cstheme="minorHAnsi"/>
                <w:b/>
                <w:color w:val="auto"/>
              </w:rPr>
              <w:t>First Supervisor</w:t>
            </w:r>
          </w:p>
        </w:tc>
        <w:tc>
          <w:tcPr>
            <w:tcW w:w="5807" w:type="dxa"/>
          </w:tcPr>
          <w:p w14:paraId="4984ADF3" w14:textId="6153FD6C" w:rsidR="00066C81" w:rsidRPr="007E72F9" w:rsidRDefault="008E267D" w:rsidP="00066C81">
            <w:pPr>
              <w:rPr>
                <w:rFonts w:asciiTheme="minorHAnsi" w:hAnsiTheme="minorHAnsi" w:cstheme="minorHAnsi"/>
                <w:color w:val="auto"/>
              </w:rPr>
            </w:pPr>
            <w:r w:rsidRPr="007E72F9">
              <w:rPr>
                <w:rFonts w:asciiTheme="minorHAnsi" w:eastAsia="Times New Roman" w:hAnsiTheme="minorHAnsi" w:cstheme="minorHAnsi"/>
                <w:b/>
                <w:bCs/>
                <w:color w:val="auto"/>
              </w:rPr>
              <w:t>Dr. Tim C. Pearce</w:t>
            </w:r>
          </w:p>
        </w:tc>
      </w:tr>
      <w:tr w:rsidR="007E72F9" w:rsidRPr="007E72F9" w14:paraId="6DC0E45D" w14:textId="77777777" w:rsidTr="00ED69E6">
        <w:tc>
          <w:tcPr>
            <w:tcW w:w="3227" w:type="dxa"/>
            <w:shd w:val="clear" w:color="auto" w:fill="F2F2F2" w:themeFill="background1" w:themeFillShade="F2"/>
          </w:tcPr>
          <w:p w14:paraId="0B13A3A9" w14:textId="77777777" w:rsidR="00066C81" w:rsidRPr="007E72F9" w:rsidRDefault="00066C81" w:rsidP="00066C81">
            <w:pPr>
              <w:rPr>
                <w:rFonts w:asciiTheme="minorHAnsi" w:hAnsiTheme="minorHAnsi" w:cstheme="minorHAnsi"/>
                <w:b/>
                <w:color w:val="auto"/>
              </w:rPr>
            </w:pPr>
            <w:r w:rsidRPr="007E72F9">
              <w:rPr>
                <w:rFonts w:asciiTheme="minorHAnsi" w:hAnsiTheme="minorHAnsi" w:cstheme="minorHAnsi"/>
                <w:b/>
                <w:color w:val="auto"/>
              </w:rPr>
              <w:t>School/Department</w:t>
            </w:r>
          </w:p>
        </w:tc>
        <w:tc>
          <w:tcPr>
            <w:tcW w:w="5807" w:type="dxa"/>
          </w:tcPr>
          <w:p w14:paraId="0B7A4BF6" w14:textId="1A373814" w:rsidR="00066C81" w:rsidRPr="007E72F9" w:rsidRDefault="002F034B" w:rsidP="00066C81">
            <w:pPr>
              <w:rPr>
                <w:rFonts w:asciiTheme="minorHAnsi" w:hAnsiTheme="minorHAnsi" w:cstheme="minorHAnsi"/>
                <w:color w:val="auto"/>
              </w:rPr>
            </w:pPr>
            <w:r>
              <w:rPr>
                <w:rFonts w:asciiTheme="minorHAnsi" w:hAnsiTheme="minorHAnsi" w:cstheme="minorHAnsi"/>
                <w:color w:val="auto"/>
              </w:rPr>
              <w:t>Engineering</w:t>
            </w:r>
          </w:p>
        </w:tc>
      </w:tr>
      <w:tr w:rsidR="007E72F9" w:rsidRPr="007E72F9" w14:paraId="566BAE34" w14:textId="77777777" w:rsidTr="00BA13A1">
        <w:tc>
          <w:tcPr>
            <w:tcW w:w="3227" w:type="dxa"/>
            <w:shd w:val="clear" w:color="auto" w:fill="F2F2F2" w:themeFill="background1" w:themeFillShade="F2"/>
          </w:tcPr>
          <w:p w14:paraId="1C05A3B9" w14:textId="77777777" w:rsidR="003A7DAE" w:rsidRPr="007E72F9" w:rsidRDefault="003A7DAE" w:rsidP="00066C81">
            <w:pPr>
              <w:rPr>
                <w:rFonts w:asciiTheme="minorHAnsi" w:hAnsiTheme="minorHAnsi" w:cstheme="minorHAnsi"/>
                <w:b/>
                <w:color w:val="auto"/>
              </w:rPr>
            </w:pPr>
            <w:r w:rsidRPr="007E72F9">
              <w:rPr>
                <w:rFonts w:asciiTheme="minorHAnsi" w:hAnsiTheme="minorHAnsi" w:cstheme="minorHAnsi"/>
                <w:b/>
                <w:color w:val="auto"/>
              </w:rPr>
              <w:t xml:space="preserve">Email </w:t>
            </w:r>
          </w:p>
        </w:tc>
        <w:tc>
          <w:tcPr>
            <w:tcW w:w="5807" w:type="dxa"/>
          </w:tcPr>
          <w:p w14:paraId="28BF855B" w14:textId="2B6AC530" w:rsidR="003A7DAE" w:rsidRPr="007E72F9" w:rsidRDefault="008E267D" w:rsidP="00066C81">
            <w:pPr>
              <w:rPr>
                <w:rFonts w:asciiTheme="minorHAnsi" w:hAnsiTheme="minorHAnsi" w:cstheme="minorHAnsi"/>
                <w:color w:val="auto"/>
              </w:rPr>
            </w:pPr>
            <w:r w:rsidRPr="007E72F9">
              <w:rPr>
                <w:rFonts w:asciiTheme="minorHAnsi" w:eastAsia="Times New Roman" w:hAnsiTheme="minorHAnsi" w:cstheme="minorHAnsi"/>
                <w:b/>
                <w:bCs/>
                <w:color w:val="auto"/>
              </w:rPr>
              <w:t>t.c.pearce@le.ac.uk</w:t>
            </w:r>
          </w:p>
        </w:tc>
      </w:tr>
    </w:tbl>
    <w:p w14:paraId="7C06D8EE" w14:textId="77777777" w:rsidR="00066C81" w:rsidRPr="007E72F9"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7E72F9" w:rsidRPr="007E72F9" w14:paraId="5A30D420" w14:textId="77777777" w:rsidTr="00066C81">
        <w:tc>
          <w:tcPr>
            <w:tcW w:w="3256" w:type="dxa"/>
            <w:shd w:val="clear" w:color="auto" w:fill="F2F2F2" w:themeFill="background1" w:themeFillShade="F2"/>
          </w:tcPr>
          <w:p w14:paraId="2DBD0CB6" w14:textId="77777777" w:rsidR="00066C81" w:rsidRPr="007E72F9" w:rsidRDefault="00066C81" w:rsidP="00ED69E6">
            <w:pPr>
              <w:rPr>
                <w:rFonts w:asciiTheme="minorHAnsi" w:hAnsiTheme="minorHAnsi" w:cstheme="minorHAnsi"/>
                <w:b/>
                <w:color w:val="auto"/>
              </w:rPr>
            </w:pPr>
            <w:r w:rsidRPr="007E72F9">
              <w:rPr>
                <w:rFonts w:asciiTheme="minorHAnsi" w:hAnsiTheme="minorHAnsi" w:cstheme="minorHAnsi"/>
                <w:b/>
                <w:color w:val="auto"/>
              </w:rPr>
              <w:t>Second Supervisor</w:t>
            </w:r>
          </w:p>
        </w:tc>
        <w:tc>
          <w:tcPr>
            <w:tcW w:w="5778" w:type="dxa"/>
          </w:tcPr>
          <w:p w14:paraId="489D6B79" w14:textId="2933222A" w:rsidR="00066C81" w:rsidRPr="007E72F9" w:rsidRDefault="008E267D" w:rsidP="00ED69E6">
            <w:pPr>
              <w:rPr>
                <w:rFonts w:asciiTheme="minorHAnsi" w:hAnsiTheme="minorHAnsi" w:cstheme="minorHAnsi"/>
                <w:color w:val="auto"/>
              </w:rPr>
            </w:pPr>
            <w:r w:rsidRPr="007E72F9">
              <w:rPr>
                <w:rFonts w:asciiTheme="minorHAnsi" w:hAnsiTheme="minorHAnsi" w:cstheme="minorHAnsi"/>
                <w:color w:val="auto"/>
              </w:rPr>
              <w:t>Alex Rowlands</w:t>
            </w:r>
          </w:p>
        </w:tc>
      </w:tr>
      <w:tr w:rsidR="007E72F9" w:rsidRPr="007E72F9" w14:paraId="04ACFF8B" w14:textId="77777777" w:rsidTr="00066C81">
        <w:tc>
          <w:tcPr>
            <w:tcW w:w="3256" w:type="dxa"/>
            <w:shd w:val="clear" w:color="auto" w:fill="F2F2F2" w:themeFill="background1" w:themeFillShade="F2"/>
          </w:tcPr>
          <w:p w14:paraId="1E46C14B" w14:textId="77777777" w:rsidR="00066C81" w:rsidRPr="007E72F9" w:rsidRDefault="00066C81" w:rsidP="00ED69E6">
            <w:pPr>
              <w:rPr>
                <w:rFonts w:asciiTheme="minorHAnsi" w:hAnsiTheme="minorHAnsi" w:cstheme="minorHAnsi"/>
                <w:b/>
                <w:color w:val="auto"/>
              </w:rPr>
            </w:pPr>
            <w:r w:rsidRPr="007E72F9">
              <w:rPr>
                <w:rFonts w:asciiTheme="minorHAnsi" w:hAnsiTheme="minorHAnsi" w:cstheme="minorHAnsi"/>
                <w:b/>
                <w:color w:val="auto"/>
              </w:rPr>
              <w:t>School/Department</w:t>
            </w:r>
          </w:p>
        </w:tc>
        <w:tc>
          <w:tcPr>
            <w:tcW w:w="5778" w:type="dxa"/>
          </w:tcPr>
          <w:p w14:paraId="1B7222C7" w14:textId="5CF4E3CF" w:rsidR="00066C81" w:rsidRPr="007E72F9" w:rsidRDefault="008E267D" w:rsidP="00ED69E6">
            <w:pPr>
              <w:rPr>
                <w:rFonts w:asciiTheme="minorHAnsi" w:hAnsiTheme="minorHAnsi" w:cstheme="minorHAnsi"/>
                <w:color w:val="auto"/>
              </w:rPr>
            </w:pPr>
            <w:r w:rsidRPr="007E72F9">
              <w:rPr>
                <w:rFonts w:asciiTheme="minorHAnsi" w:hAnsiTheme="minorHAnsi" w:cstheme="minorHAnsi"/>
                <w:color w:val="auto"/>
              </w:rPr>
              <w:t>DRC</w:t>
            </w:r>
          </w:p>
        </w:tc>
      </w:tr>
      <w:tr w:rsidR="007E72F9" w:rsidRPr="007E72F9" w14:paraId="1A47049C" w14:textId="77777777" w:rsidTr="0029160A">
        <w:tc>
          <w:tcPr>
            <w:tcW w:w="3256" w:type="dxa"/>
            <w:shd w:val="clear" w:color="auto" w:fill="F2F2F2" w:themeFill="background1" w:themeFillShade="F2"/>
          </w:tcPr>
          <w:p w14:paraId="7BD42367" w14:textId="77777777" w:rsidR="003A7DAE" w:rsidRPr="007E72F9" w:rsidRDefault="003A7DAE" w:rsidP="00ED69E6">
            <w:pPr>
              <w:rPr>
                <w:rFonts w:asciiTheme="minorHAnsi" w:hAnsiTheme="minorHAnsi" w:cstheme="minorHAnsi"/>
                <w:b/>
                <w:color w:val="auto"/>
              </w:rPr>
            </w:pPr>
            <w:r w:rsidRPr="007E72F9">
              <w:rPr>
                <w:rFonts w:asciiTheme="minorHAnsi" w:hAnsiTheme="minorHAnsi" w:cstheme="minorHAnsi"/>
                <w:b/>
                <w:color w:val="auto"/>
              </w:rPr>
              <w:t xml:space="preserve">Email </w:t>
            </w:r>
          </w:p>
        </w:tc>
        <w:tc>
          <w:tcPr>
            <w:tcW w:w="5778" w:type="dxa"/>
          </w:tcPr>
          <w:p w14:paraId="4D06D5DB" w14:textId="05D10EFA" w:rsidR="003A7DAE" w:rsidRPr="007E72F9" w:rsidRDefault="008E267D" w:rsidP="00ED69E6">
            <w:pPr>
              <w:rPr>
                <w:rFonts w:asciiTheme="minorHAnsi" w:hAnsiTheme="minorHAnsi" w:cstheme="minorHAnsi"/>
                <w:color w:val="auto"/>
              </w:rPr>
            </w:pPr>
            <w:r w:rsidRPr="007E72F9">
              <w:rPr>
                <w:rFonts w:asciiTheme="minorHAnsi" w:hAnsiTheme="minorHAnsi" w:cstheme="minorHAnsi"/>
                <w:b/>
                <w:bCs/>
                <w:color w:val="auto"/>
              </w:rPr>
              <w:t>alex.rowlands@leicester.ac.uk</w:t>
            </w:r>
          </w:p>
        </w:tc>
      </w:tr>
    </w:tbl>
    <w:p w14:paraId="3188842D" w14:textId="77777777" w:rsidR="00066C81" w:rsidRPr="007E72F9"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7E72F9" w:rsidRPr="007E72F9" w14:paraId="48BAF998" w14:textId="77777777" w:rsidTr="00066C81">
        <w:tc>
          <w:tcPr>
            <w:tcW w:w="3256" w:type="dxa"/>
            <w:shd w:val="clear" w:color="auto" w:fill="F2F2F2" w:themeFill="background1" w:themeFillShade="F2"/>
          </w:tcPr>
          <w:p w14:paraId="5D439254" w14:textId="77777777" w:rsidR="00066C81" w:rsidRPr="007E72F9" w:rsidRDefault="00066C81" w:rsidP="00ED69E6">
            <w:pPr>
              <w:rPr>
                <w:rFonts w:asciiTheme="minorHAnsi" w:hAnsiTheme="minorHAnsi" w:cstheme="minorHAnsi"/>
                <w:b/>
                <w:color w:val="auto"/>
              </w:rPr>
            </w:pPr>
            <w:r w:rsidRPr="007E72F9">
              <w:rPr>
                <w:rFonts w:asciiTheme="minorHAnsi" w:hAnsiTheme="minorHAnsi" w:cstheme="minorHAnsi"/>
                <w:b/>
                <w:color w:val="auto"/>
              </w:rPr>
              <w:t>Additional Supervisor</w:t>
            </w:r>
          </w:p>
        </w:tc>
        <w:tc>
          <w:tcPr>
            <w:tcW w:w="5778" w:type="dxa"/>
          </w:tcPr>
          <w:p w14:paraId="04519482" w14:textId="6E190825" w:rsidR="00066C81" w:rsidRPr="007E72F9" w:rsidRDefault="008E267D" w:rsidP="00ED69E6">
            <w:pPr>
              <w:rPr>
                <w:rFonts w:asciiTheme="minorHAnsi" w:hAnsiTheme="minorHAnsi" w:cstheme="minorHAnsi"/>
                <w:color w:val="auto"/>
              </w:rPr>
            </w:pPr>
            <w:r w:rsidRPr="007E72F9">
              <w:rPr>
                <w:rFonts w:asciiTheme="minorHAnsi" w:hAnsiTheme="minorHAnsi" w:cstheme="minorHAnsi"/>
                <w:color w:val="auto"/>
              </w:rPr>
              <w:t xml:space="preserve">Tom Yates, DRC, </w:t>
            </w:r>
            <w:r w:rsidRPr="007E72F9">
              <w:rPr>
                <w:rFonts w:asciiTheme="minorHAnsi" w:eastAsia="Times New Roman" w:hAnsiTheme="minorHAnsi" w:cstheme="minorHAnsi"/>
                <w:b/>
                <w:bCs/>
                <w:color w:val="auto"/>
              </w:rPr>
              <w:t>ty20@leicester.ac.uk</w:t>
            </w:r>
          </w:p>
        </w:tc>
      </w:tr>
    </w:tbl>
    <w:p w14:paraId="4806292A" w14:textId="77777777" w:rsidR="00066C81" w:rsidRPr="007E72F9" w:rsidRDefault="00066C81" w:rsidP="00066C81">
      <w:pPr>
        <w:spacing w:after="0" w:line="240" w:lineRule="auto"/>
        <w:rPr>
          <w:rFonts w:asciiTheme="minorHAnsi" w:hAnsiTheme="minorHAnsi" w:cstheme="minorHAnsi"/>
          <w:b/>
          <w:color w:val="auto"/>
          <w:u w:val="single"/>
        </w:rPr>
      </w:pPr>
    </w:p>
    <w:p w14:paraId="2F660E25" w14:textId="77777777" w:rsidR="00066C81" w:rsidRPr="007E72F9" w:rsidRDefault="00066C81" w:rsidP="00066C81">
      <w:pPr>
        <w:spacing w:after="0" w:line="240" w:lineRule="auto"/>
        <w:rPr>
          <w:rFonts w:asciiTheme="minorHAnsi" w:hAnsiTheme="minorHAnsi" w:cstheme="minorHAnsi"/>
          <w:b/>
          <w:i/>
          <w:color w:val="auto"/>
        </w:rPr>
      </w:pPr>
      <w:r w:rsidRPr="007E72F9">
        <w:rPr>
          <w:rFonts w:asciiTheme="minorHAnsi" w:hAnsiTheme="minorHAnsi" w:cstheme="minorHAnsi"/>
          <w:b/>
          <w:color w:val="auto"/>
        </w:rPr>
        <w:t xml:space="preserve">Section 2 – </w:t>
      </w:r>
      <w:r w:rsidRPr="007E72F9">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2296"/>
        <w:gridCol w:w="7036"/>
      </w:tblGrid>
      <w:tr w:rsidR="007E72F9" w:rsidRPr="007E72F9" w14:paraId="6E42E9E7" w14:textId="77777777" w:rsidTr="007E72F9">
        <w:tc>
          <w:tcPr>
            <w:tcW w:w="2296" w:type="dxa"/>
            <w:shd w:val="clear" w:color="auto" w:fill="F2F2F2" w:themeFill="background1" w:themeFillShade="F2"/>
          </w:tcPr>
          <w:p w14:paraId="79396BC4" w14:textId="77777777" w:rsidR="00066C81" w:rsidRPr="007E72F9" w:rsidRDefault="00066C81" w:rsidP="00ED69E6">
            <w:pPr>
              <w:rPr>
                <w:rFonts w:asciiTheme="minorHAnsi" w:hAnsiTheme="minorHAnsi" w:cstheme="minorHAnsi"/>
                <w:b/>
                <w:color w:val="auto"/>
              </w:rPr>
            </w:pPr>
            <w:r w:rsidRPr="007E72F9">
              <w:rPr>
                <w:rFonts w:asciiTheme="minorHAnsi" w:hAnsiTheme="minorHAnsi" w:cstheme="minorHAnsi"/>
                <w:b/>
                <w:color w:val="auto"/>
              </w:rPr>
              <w:t>Project Title</w:t>
            </w:r>
          </w:p>
          <w:p w14:paraId="2AE8459A" w14:textId="77777777" w:rsidR="00066C81" w:rsidRPr="007E72F9" w:rsidRDefault="00066C81" w:rsidP="00ED69E6">
            <w:pPr>
              <w:rPr>
                <w:rFonts w:asciiTheme="minorHAnsi" w:hAnsiTheme="minorHAnsi" w:cstheme="minorHAnsi"/>
                <w:b/>
                <w:color w:val="auto"/>
              </w:rPr>
            </w:pPr>
          </w:p>
        </w:tc>
        <w:tc>
          <w:tcPr>
            <w:tcW w:w="7036" w:type="dxa"/>
          </w:tcPr>
          <w:p w14:paraId="2BC2E11D" w14:textId="3A3D02C5" w:rsidR="00066C81" w:rsidRPr="007E72F9" w:rsidRDefault="008E267D" w:rsidP="00ED69E6">
            <w:pPr>
              <w:rPr>
                <w:rFonts w:asciiTheme="minorHAnsi" w:hAnsiTheme="minorHAnsi" w:cstheme="minorHAnsi"/>
                <w:color w:val="auto"/>
              </w:rPr>
            </w:pPr>
            <w:bookmarkStart w:id="0" w:name="_Hlk185420242"/>
            <w:r w:rsidRPr="007E72F9">
              <w:rPr>
                <w:rFonts w:asciiTheme="minorHAnsi" w:hAnsiTheme="minorHAnsi" w:cstheme="minorHAnsi"/>
                <w:b/>
                <w:bCs/>
                <w:color w:val="auto"/>
              </w:rPr>
              <w:t>Human Activity Recognition using Self-supervised learning AI Architectures for Wearable Accelerometers in Free-Living Scenarios</w:t>
            </w:r>
            <w:bookmarkEnd w:id="0"/>
          </w:p>
        </w:tc>
      </w:tr>
      <w:tr w:rsidR="007E72F9" w:rsidRPr="007E72F9" w14:paraId="4C9CB2BA" w14:textId="77777777" w:rsidTr="007E72F9">
        <w:tc>
          <w:tcPr>
            <w:tcW w:w="9332" w:type="dxa"/>
            <w:gridSpan w:val="2"/>
            <w:shd w:val="clear" w:color="auto" w:fill="F2F2F2" w:themeFill="background1" w:themeFillShade="F2"/>
          </w:tcPr>
          <w:p w14:paraId="3D17942F" w14:textId="77777777" w:rsidR="00066C81" w:rsidRPr="007E72F9" w:rsidRDefault="00066C81" w:rsidP="00066C81">
            <w:pPr>
              <w:rPr>
                <w:rFonts w:asciiTheme="minorHAnsi" w:hAnsiTheme="minorHAnsi" w:cstheme="minorHAnsi"/>
                <w:color w:val="auto"/>
              </w:rPr>
            </w:pPr>
            <w:r w:rsidRPr="007E72F9">
              <w:rPr>
                <w:rFonts w:asciiTheme="minorHAnsi" w:hAnsiTheme="minorHAnsi" w:cstheme="minorHAnsi"/>
                <w:b/>
                <w:color w:val="auto"/>
                <w:highlight w:val="lightGray"/>
              </w:rPr>
              <w:t>Project Summary</w:t>
            </w:r>
            <w:r w:rsidRPr="007E72F9">
              <w:rPr>
                <w:rFonts w:asciiTheme="minorHAnsi" w:hAnsiTheme="minorHAnsi" w:cstheme="minorHAnsi"/>
                <w:b/>
                <w:color w:val="auto"/>
              </w:rPr>
              <w:t xml:space="preserve"> </w:t>
            </w:r>
          </w:p>
        </w:tc>
      </w:tr>
      <w:tr w:rsidR="007E72F9" w:rsidRPr="007E72F9" w14:paraId="51FA071A" w14:textId="77777777" w:rsidTr="007E72F9">
        <w:tc>
          <w:tcPr>
            <w:tcW w:w="9332" w:type="dxa"/>
            <w:gridSpan w:val="2"/>
          </w:tcPr>
          <w:p w14:paraId="328179BD" w14:textId="047D9AB3" w:rsidR="00066C81" w:rsidRPr="007E72F9" w:rsidRDefault="00066C81" w:rsidP="00ED69E6">
            <w:pPr>
              <w:rPr>
                <w:rFonts w:asciiTheme="minorHAnsi" w:hAnsiTheme="minorHAnsi" w:cstheme="minorHAnsi"/>
                <w:b/>
                <w:color w:val="auto"/>
              </w:rPr>
            </w:pPr>
          </w:p>
          <w:p w14:paraId="7DACDEA9" w14:textId="77777777" w:rsidR="008E267D" w:rsidRPr="007E72F9" w:rsidRDefault="008E267D" w:rsidP="008E267D">
            <w:pPr>
              <w:textAlignment w:val="baseline"/>
              <w:rPr>
                <w:rFonts w:asciiTheme="minorHAnsi" w:hAnsiTheme="minorHAnsi" w:cstheme="minorHAnsi"/>
                <w:b/>
                <w:bCs/>
                <w:color w:val="auto"/>
              </w:rPr>
            </w:pPr>
            <w:r w:rsidRPr="007E72F9">
              <w:rPr>
                <w:rFonts w:asciiTheme="minorHAnsi" w:hAnsiTheme="minorHAnsi" w:cstheme="minorHAnsi"/>
                <w:b/>
                <w:bCs/>
                <w:color w:val="auto"/>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7E72F9" w:rsidRPr="007E72F9" w14:paraId="6615BFB8" w14:textId="77777777" w:rsidTr="00A94AAF">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6BE6FD44"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1. 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178F0DEB"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Development of AI for automated labelling of free-living data from wearable accelerometers according to learnt behavioural profiles. </w:t>
                  </w:r>
                </w:p>
              </w:tc>
            </w:tr>
            <w:tr w:rsidR="007E72F9" w:rsidRPr="007E72F9" w14:paraId="0E473700" w14:textId="77777777" w:rsidTr="00A94AAF">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6B68DD64"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2. 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31024695"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Prediction of behavioural profile diversity over time for individuals using the AI architecture on data from both high-resolution and relatively inexpensive retail accelerometers with a focus on reducing health inequality.</w:t>
                  </w:r>
                </w:p>
                <w:p w14:paraId="3F5A8258"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p>
              </w:tc>
            </w:tr>
            <w:tr w:rsidR="007E72F9" w:rsidRPr="007E72F9" w14:paraId="2E2EB3F9" w14:textId="77777777" w:rsidTr="00A94AAF">
              <w:trPr>
                <w:trHeight w:val="465"/>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5D15A3FC"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3. 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2240E21A" w14:textId="77777777" w:rsidR="008E267D" w:rsidRPr="007E72F9" w:rsidRDefault="008E267D" w:rsidP="008E267D">
                  <w:pPr>
                    <w:spacing w:after="0" w:line="240" w:lineRule="auto"/>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Application and testing of the algorithms in an epidemiological context (e.g type 2 diabetes) on large cohort studies with free-living accelerometer data. </w:t>
                  </w:r>
                </w:p>
              </w:tc>
            </w:tr>
          </w:tbl>
          <w:p w14:paraId="50BB1798" w14:textId="77777777" w:rsidR="008E267D" w:rsidRPr="007E72F9" w:rsidRDefault="008E267D" w:rsidP="008E267D">
            <w:pPr>
              <w:textAlignment w:val="baseline"/>
              <w:rPr>
                <w:rFonts w:asciiTheme="minorHAnsi" w:eastAsia="Times New Roman" w:hAnsiTheme="minorHAnsi" w:cstheme="minorHAnsi"/>
                <w:color w:val="auto"/>
              </w:rPr>
            </w:pPr>
          </w:p>
          <w:p w14:paraId="61A4786D" w14:textId="77777777" w:rsidR="008E267D" w:rsidRPr="007E72F9" w:rsidRDefault="008E267D" w:rsidP="00ED69E6">
            <w:pPr>
              <w:rPr>
                <w:rFonts w:asciiTheme="minorHAnsi" w:hAnsiTheme="minorHAnsi" w:cstheme="minorHAnsi"/>
                <w:b/>
                <w:color w:val="auto"/>
              </w:rPr>
            </w:pPr>
          </w:p>
          <w:p w14:paraId="16924569" w14:textId="77777777" w:rsidR="008E267D" w:rsidRPr="007E72F9" w:rsidRDefault="008E267D" w:rsidP="00ED69E6">
            <w:pPr>
              <w:rPr>
                <w:rFonts w:asciiTheme="minorHAnsi" w:hAnsiTheme="minorHAnsi" w:cstheme="minorHAnsi"/>
                <w:b/>
                <w:color w:val="auto"/>
              </w:rPr>
            </w:pPr>
          </w:p>
          <w:p w14:paraId="055A71DA" w14:textId="77777777" w:rsidR="008E267D" w:rsidRPr="007E72F9" w:rsidRDefault="008E267D" w:rsidP="008E267D">
            <w:pPr>
              <w:textAlignment w:val="baseline"/>
              <w:rPr>
                <w:rFonts w:asciiTheme="minorHAnsi" w:eastAsia="Times New Roman" w:hAnsiTheme="minorHAnsi" w:cstheme="minorHAnsi"/>
                <w:i/>
                <w:iCs/>
                <w:color w:val="auto"/>
              </w:rPr>
            </w:pPr>
            <w:r w:rsidRPr="007E72F9">
              <w:rPr>
                <w:rFonts w:asciiTheme="minorHAnsi" w:eastAsia="Times New Roman" w:hAnsiTheme="minorHAnsi" w:cstheme="minorHAnsi"/>
                <w:i/>
                <w:iCs/>
                <w:color w:val="auto"/>
              </w:rPr>
              <w:t xml:space="preserve">Aim:  </w:t>
            </w:r>
            <w:r w:rsidRPr="007E72F9">
              <w:rPr>
                <w:rFonts w:asciiTheme="minorHAnsi" w:eastAsia="Times New Roman" w:hAnsiTheme="minorHAnsi" w:cstheme="minorHAnsi"/>
                <w:color w:val="auto"/>
              </w:rPr>
              <w:t>This project applies recently developed self-supervised learning architectures for time-series analysis from the field of deep learning AI and validates these for automated labelling of behavioural profiles contained within free-living accelerometer datasets.</w:t>
            </w:r>
          </w:p>
          <w:p w14:paraId="79CE7269" w14:textId="77777777" w:rsidR="008E267D" w:rsidRPr="007E72F9" w:rsidRDefault="008E267D" w:rsidP="008E267D">
            <w:pPr>
              <w:textAlignment w:val="baseline"/>
              <w:rPr>
                <w:rFonts w:asciiTheme="minorHAnsi" w:eastAsia="Times New Roman" w:hAnsiTheme="minorHAnsi" w:cstheme="minorHAnsi"/>
                <w:i/>
                <w:iCs/>
                <w:color w:val="auto"/>
              </w:rPr>
            </w:pPr>
          </w:p>
          <w:p w14:paraId="00082B85" w14:textId="77777777" w:rsidR="008E267D" w:rsidRPr="007E72F9" w:rsidRDefault="008E267D" w:rsidP="008E267D">
            <w:pPr>
              <w:textAlignment w:val="baseline"/>
              <w:rPr>
                <w:rFonts w:asciiTheme="minorHAnsi" w:eastAsia="Times New Roman" w:hAnsiTheme="minorHAnsi" w:cstheme="minorHAnsi"/>
                <w:i/>
                <w:iCs/>
                <w:color w:val="auto"/>
              </w:rPr>
            </w:pPr>
            <w:r w:rsidRPr="007E72F9">
              <w:rPr>
                <w:rFonts w:asciiTheme="minorHAnsi" w:eastAsia="Times New Roman" w:hAnsiTheme="minorHAnsi" w:cstheme="minorHAnsi"/>
                <w:i/>
                <w:iCs/>
                <w:color w:val="auto"/>
              </w:rPr>
              <w:t xml:space="preserve">Background:  </w:t>
            </w:r>
            <w:r w:rsidRPr="007E72F9">
              <w:rPr>
                <w:rFonts w:asciiTheme="minorHAnsi" w:eastAsia="Times New Roman" w:hAnsiTheme="minorHAnsi" w:cstheme="minorHAnsi"/>
                <w:color w:val="auto"/>
              </w:rPr>
              <w:t xml:space="preserve">Wearable tri-axial accelerometers have been demonstrated as a useful technology for monitoring human activity levels and generating behavioural feedback for preventing chronic disease and comorbidity (Bull </w:t>
            </w:r>
            <w:r w:rsidRPr="007E72F9">
              <w:rPr>
                <w:rFonts w:asciiTheme="minorHAnsi" w:eastAsia="Times New Roman" w:hAnsiTheme="minorHAnsi" w:cstheme="minorHAnsi"/>
                <w:i/>
                <w:iCs/>
                <w:color w:val="auto"/>
              </w:rPr>
              <w:t>et al.</w:t>
            </w:r>
            <w:r w:rsidRPr="007E72F9">
              <w:rPr>
                <w:rFonts w:asciiTheme="minorHAnsi" w:eastAsia="Times New Roman" w:hAnsiTheme="minorHAnsi" w:cstheme="minorHAnsi"/>
                <w:color w:val="auto"/>
              </w:rPr>
              <w:t xml:space="preserve">, 2020). Activity levels, sleep and sedentary behaviour are routinely classified from accelerometer data based on signal magnitudes and/or orientation, but deeper insights may be obtained by identifying specific activities and their complex temporal relationships – so-called human activity recognition (HAR).  For instance, deeper understanding of behaviour profiles across sub-types of type 2 diabetes could support personalisation of interventions and disease management (Henson </w:t>
            </w:r>
            <w:r w:rsidRPr="007E72F9">
              <w:rPr>
                <w:rFonts w:asciiTheme="minorHAnsi" w:eastAsia="Times New Roman" w:hAnsiTheme="minorHAnsi" w:cstheme="minorHAnsi"/>
                <w:i/>
                <w:iCs/>
                <w:color w:val="auto"/>
              </w:rPr>
              <w:t>et al.</w:t>
            </w:r>
            <w:r w:rsidRPr="007E72F9">
              <w:rPr>
                <w:rFonts w:asciiTheme="minorHAnsi" w:eastAsia="Times New Roman" w:hAnsiTheme="minorHAnsi" w:cstheme="minorHAnsi"/>
                <w:color w:val="auto"/>
              </w:rPr>
              <w:t>, 2024).</w:t>
            </w:r>
          </w:p>
          <w:p w14:paraId="547A4D14" w14:textId="77777777" w:rsidR="008E267D" w:rsidRPr="007E72F9" w:rsidRDefault="008E267D" w:rsidP="008E267D">
            <w:pPr>
              <w:textAlignment w:val="baseline"/>
              <w:rPr>
                <w:rFonts w:asciiTheme="minorHAnsi" w:eastAsia="Times New Roman" w:hAnsiTheme="minorHAnsi" w:cstheme="minorHAnsi"/>
                <w:color w:val="auto"/>
              </w:rPr>
            </w:pPr>
          </w:p>
          <w:p w14:paraId="72EBE835"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While accurately recognising and interpreting human activities from wearable accelerometer time-series data for patients in the community offers potential to unlock valuable insights for improving healthcare and healthy ageing, accurate time-resolved HAR in a free-living context is challenging. There is a lack of ‘ground truth’ data in free-living contexts and many datasets are collected in artificial laboratory settings with limited wider application to lifestyle research. Moreover, traditional data analysis (e.g. probabilistic and statistical) methods can struggle with the complexity of these data to capture the variability and the rich repertoire of human behaviour in the free-living context. Hence </w:t>
            </w:r>
            <w:r w:rsidRPr="007E72F9">
              <w:rPr>
                <w:rFonts w:asciiTheme="minorHAnsi" w:eastAsia="Times New Roman" w:hAnsiTheme="minorHAnsi" w:cstheme="minorHAnsi"/>
                <w:color w:val="auto"/>
              </w:rPr>
              <w:lastRenderedPageBreak/>
              <w:t xml:space="preserve">there has been a call to apply recent advances in AI to tackle large </w:t>
            </w:r>
            <w:r w:rsidRPr="007E72F9">
              <w:rPr>
                <w:rFonts w:asciiTheme="minorHAnsi" w:eastAsia="Times New Roman" w:hAnsiTheme="minorHAnsi" w:cstheme="minorHAnsi"/>
                <w:color w:val="auto"/>
                <w:u w:val="single"/>
              </w:rPr>
              <w:t>unlabelled</w:t>
            </w:r>
            <w:r w:rsidRPr="007E72F9">
              <w:rPr>
                <w:rFonts w:asciiTheme="minorHAnsi" w:eastAsia="Times New Roman" w:hAnsiTheme="minorHAnsi" w:cstheme="minorHAnsi"/>
                <w:color w:val="auto"/>
              </w:rPr>
              <w:t xml:space="preserve"> free-living accelerometery datasets to unlock behavioural insights. </w:t>
            </w:r>
          </w:p>
          <w:p w14:paraId="5F382EF7" w14:textId="77777777" w:rsidR="008E267D" w:rsidRPr="007E72F9" w:rsidRDefault="008E267D" w:rsidP="008E267D">
            <w:pPr>
              <w:textAlignment w:val="baseline"/>
              <w:rPr>
                <w:rFonts w:asciiTheme="minorHAnsi" w:eastAsia="Times New Roman" w:hAnsiTheme="minorHAnsi" w:cstheme="minorHAnsi"/>
                <w:color w:val="auto"/>
              </w:rPr>
            </w:pPr>
          </w:p>
          <w:p w14:paraId="096EA15C"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i/>
                <w:iCs/>
                <w:color w:val="auto"/>
              </w:rPr>
              <w:t xml:space="preserve">Methods:  </w:t>
            </w:r>
            <w:r w:rsidRPr="007E72F9">
              <w:rPr>
                <w:rFonts w:asciiTheme="minorHAnsi" w:eastAsia="Times New Roman" w:hAnsiTheme="minorHAnsi" w:cstheme="minorHAnsi"/>
                <w:color w:val="auto"/>
              </w:rPr>
              <w:t>Self-supervised learning architectures (e.g. Figure 1) are attractive for addressing this issue due to their ability to handle and unlock insights in large-scale unlabelled data. These promise a reduced need for manual labelling, improved generalisation, performance gains on downstream tasks, capture of complex temporal dependencies, adaptability to real-world variability, the potential for personalisation and scalability (Zhang et al., 2024).</w:t>
            </w:r>
          </w:p>
          <w:p w14:paraId="2C281E47" w14:textId="420EDAE8" w:rsidR="00066C81" w:rsidRPr="007E72F9" w:rsidRDefault="00066C81" w:rsidP="00ED69E6">
            <w:pPr>
              <w:rPr>
                <w:rFonts w:asciiTheme="minorHAnsi" w:hAnsiTheme="minorHAnsi" w:cstheme="minorHAnsi"/>
                <w:b/>
                <w:color w:val="auto"/>
              </w:rPr>
            </w:pPr>
          </w:p>
          <w:p w14:paraId="40CFD2D6" w14:textId="77777777" w:rsidR="008E267D" w:rsidRPr="007E72F9" w:rsidRDefault="008E267D" w:rsidP="008E267D">
            <w:pPr>
              <w:textAlignment w:val="baseline"/>
              <w:rPr>
                <w:rFonts w:asciiTheme="minorHAnsi" w:eastAsia="Times New Roman" w:hAnsiTheme="minorHAnsi" w:cstheme="minorHAnsi"/>
                <w:i/>
                <w:iCs/>
                <w:color w:val="auto"/>
              </w:rPr>
            </w:pPr>
            <w:r w:rsidRPr="007E72F9">
              <w:rPr>
                <w:rFonts w:asciiTheme="minorHAnsi" w:eastAsia="Times New Roman" w:hAnsiTheme="minorHAnsi" w:cstheme="minorHAnsi"/>
                <w:i/>
                <w:iCs/>
                <w:color w:val="auto"/>
              </w:rPr>
              <w:t>Expected outcomes and impact:</w:t>
            </w:r>
          </w:p>
          <w:p w14:paraId="7FD832A8"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The potential to unlock novel insights from existing free-living accelerometery datasets, paving the way for personalised healthcare interventions and improved disease management strategies.</w:t>
            </w:r>
          </w:p>
          <w:p w14:paraId="4EF0C661" w14:textId="05F757C0" w:rsidR="003A7DAE" w:rsidRPr="007E72F9" w:rsidRDefault="003A7DAE" w:rsidP="00ED69E6">
            <w:pPr>
              <w:rPr>
                <w:rFonts w:asciiTheme="minorHAnsi" w:hAnsiTheme="minorHAnsi" w:cstheme="minorHAnsi"/>
                <w:b/>
                <w:color w:val="auto"/>
              </w:rPr>
            </w:pPr>
          </w:p>
          <w:p w14:paraId="52EFBB87" w14:textId="77777777" w:rsidR="00066C81" w:rsidRPr="007E72F9" w:rsidRDefault="00066C81" w:rsidP="00ED69E6">
            <w:pPr>
              <w:rPr>
                <w:rFonts w:asciiTheme="minorHAnsi" w:hAnsiTheme="minorHAnsi" w:cstheme="minorHAnsi"/>
                <w:b/>
                <w:color w:val="auto"/>
              </w:rPr>
            </w:pPr>
          </w:p>
        </w:tc>
      </w:tr>
      <w:tr w:rsidR="007E72F9" w:rsidRPr="007E72F9" w14:paraId="703CFC4C" w14:textId="77777777" w:rsidTr="007E72F9">
        <w:tc>
          <w:tcPr>
            <w:tcW w:w="9332" w:type="dxa"/>
            <w:gridSpan w:val="2"/>
            <w:shd w:val="clear" w:color="auto" w:fill="F2F2F2" w:themeFill="background1" w:themeFillShade="F2"/>
          </w:tcPr>
          <w:p w14:paraId="40B4B97E" w14:textId="39FA6C4F" w:rsidR="003A7DAE" w:rsidRPr="007E72F9" w:rsidRDefault="003A7DAE" w:rsidP="001C1AF7">
            <w:pPr>
              <w:rPr>
                <w:rFonts w:asciiTheme="minorHAnsi" w:hAnsiTheme="minorHAnsi" w:cstheme="minorHAnsi"/>
                <w:color w:val="auto"/>
              </w:rPr>
            </w:pPr>
            <w:r w:rsidRPr="007E72F9">
              <w:rPr>
                <w:rFonts w:asciiTheme="minorHAnsi" w:hAnsiTheme="minorHAnsi" w:cstheme="minorHAnsi"/>
                <w:b/>
                <w:color w:val="auto"/>
              </w:rPr>
              <w:lastRenderedPageBreak/>
              <w:t>References</w:t>
            </w:r>
          </w:p>
        </w:tc>
      </w:tr>
      <w:tr w:rsidR="007E72F9" w:rsidRPr="007E72F9" w14:paraId="6D3114C6" w14:textId="77777777" w:rsidTr="007E72F9">
        <w:tc>
          <w:tcPr>
            <w:tcW w:w="9332" w:type="dxa"/>
            <w:gridSpan w:val="2"/>
          </w:tcPr>
          <w:p w14:paraId="45E66825"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Bull FC,</w:t>
            </w:r>
            <w:r w:rsidRPr="007E72F9">
              <w:rPr>
                <w:rFonts w:asciiTheme="minorHAnsi" w:eastAsia="Times New Roman" w:hAnsiTheme="minorHAnsi" w:cstheme="minorHAnsi"/>
                <w:i/>
                <w:iCs/>
                <w:color w:val="auto"/>
              </w:rPr>
              <w:t xml:space="preserve"> et al. </w:t>
            </w:r>
            <w:r w:rsidRPr="007E72F9">
              <w:rPr>
                <w:rFonts w:asciiTheme="minorHAnsi" w:eastAsia="Times New Roman" w:hAnsiTheme="minorHAnsi" w:cstheme="minorHAnsi"/>
                <w:color w:val="auto"/>
              </w:rPr>
              <w:t xml:space="preserve">World Health Organization 2020 guidelines on physical activity and sedentary behaviour. </w:t>
            </w:r>
            <w:r w:rsidRPr="007E72F9">
              <w:rPr>
                <w:rFonts w:asciiTheme="minorHAnsi" w:eastAsia="Times New Roman" w:hAnsiTheme="minorHAnsi" w:cstheme="minorHAnsi"/>
                <w:i/>
                <w:iCs/>
                <w:color w:val="auto"/>
              </w:rPr>
              <w:t>Br J Sports Med.</w:t>
            </w:r>
            <w:r w:rsidRPr="007E72F9">
              <w:rPr>
                <w:rFonts w:asciiTheme="minorHAnsi" w:eastAsia="Times New Roman" w:hAnsiTheme="minorHAnsi" w:cstheme="minorHAnsi"/>
                <w:color w:val="auto"/>
              </w:rPr>
              <w:t xml:space="preserve"> 2020 Dec;54(24):1451-1462. doi: 10.1136/bjsports-2020-102955</w:t>
            </w:r>
          </w:p>
          <w:p w14:paraId="33362B55" w14:textId="77777777" w:rsidR="008E267D" w:rsidRPr="007E72F9" w:rsidRDefault="008E267D" w:rsidP="008E267D">
            <w:pPr>
              <w:textAlignment w:val="baseline"/>
              <w:rPr>
                <w:rFonts w:asciiTheme="minorHAnsi" w:eastAsia="Times New Roman" w:hAnsiTheme="minorHAnsi" w:cstheme="minorHAnsi"/>
                <w:color w:val="auto"/>
              </w:rPr>
            </w:pPr>
          </w:p>
          <w:p w14:paraId="40293831"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Henson J, Tziannou A, Rowlands AV, Edwardson CL, Hall AP, Davies MJ, Yates T. Twenty-four-hour physical behaviour profiles across type 2 diabetes mellitus subtypes. </w:t>
            </w:r>
            <w:r w:rsidRPr="007E72F9">
              <w:rPr>
                <w:rFonts w:asciiTheme="minorHAnsi" w:eastAsia="Times New Roman" w:hAnsiTheme="minorHAnsi" w:cstheme="minorHAnsi"/>
                <w:i/>
                <w:iCs/>
                <w:color w:val="auto"/>
              </w:rPr>
              <w:t xml:space="preserve">Diabetes Obes Metab. </w:t>
            </w:r>
            <w:r w:rsidRPr="007E72F9">
              <w:rPr>
                <w:rFonts w:asciiTheme="minorHAnsi" w:eastAsia="Times New Roman" w:hAnsiTheme="minorHAnsi" w:cstheme="minorHAnsi"/>
                <w:color w:val="auto"/>
              </w:rPr>
              <w:t>2024 Apr;26(4):1355-1365. doi: 10.1111/dom.15437</w:t>
            </w:r>
          </w:p>
          <w:p w14:paraId="085D8140" w14:textId="77777777" w:rsidR="008E267D" w:rsidRPr="007E72F9" w:rsidRDefault="008E267D" w:rsidP="008E267D">
            <w:pPr>
              <w:textAlignment w:val="baseline"/>
              <w:rPr>
                <w:rFonts w:asciiTheme="minorHAnsi" w:eastAsia="Times New Roman" w:hAnsiTheme="minorHAnsi" w:cstheme="minorHAnsi"/>
                <w:color w:val="auto"/>
              </w:rPr>
            </w:pPr>
          </w:p>
          <w:p w14:paraId="063438BD"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Yuan H, </w:t>
            </w:r>
            <w:r w:rsidRPr="007E72F9">
              <w:rPr>
                <w:rFonts w:asciiTheme="minorHAnsi" w:eastAsia="Times New Roman" w:hAnsiTheme="minorHAnsi" w:cstheme="minorHAnsi"/>
                <w:i/>
                <w:iCs/>
                <w:color w:val="auto"/>
              </w:rPr>
              <w:t>et al.</w:t>
            </w:r>
            <w:r w:rsidRPr="007E72F9">
              <w:rPr>
                <w:rFonts w:asciiTheme="minorHAnsi" w:eastAsia="Times New Roman" w:hAnsiTheme="minorHAnsi" w:cstheme="minorHAnsi"/>
                <w:color w:val="auto"/>
              </w:rPr>
              <w:t> Self-supervised learning for human activity recognition using 700,000 person-days of wearable data. </w:t>
            </w:r>
            <w:r w:rsidRPr="007E72F9">
              <w:rPr>
                <w:rFonts w:asciiTheme="minorHAnsi" w:eastAsia="Times New Roman" w:hAnsiTheme="minorHAnsi" w:cstheme="minorHAnsi"/>
                <w:i/>
                <w:iCs/>
                <w:color w:val="auto"/>
              </w:rPr>
              <w:t xml:space="preserve">npj Digit. Med. </w:t>
            </w:r>
            <w:r w:rsidRPr="007E72F9">
              <w:rPr>
                <w:rFonts w:asciiTheme="minorHAnsi" w:eastAsia="Times New Roman" w:hAnsiTheme="minorHAnsi" w:cstheme="minorHAnsi"/>
                <w:color w:val="auto"/>
              </w:rPr>
              <w:t>2024 7,91 doi: 10.1038/s41746-024-01062-3</w:t>
            </w:r>
          </w:p>
          <w:p w14:paraId="1C715EE3" w14:textId="77777777" w:rsidR="008E267D" w:rsidRPr="007E72F9" w:rsidRDefault="008E267D" w:rsidP="008E267D">
            <w:pPr>
              <w:textAlignment w:val="baseline"/>
              <w:rPr>
                <w:rFonts w:asciiTheme="minorHAnsi" w:eastAsia="Times New Roman" w:hAnsiTheme="minorHAnsi" w:cstheme="minorHAnsi"/>
                <w:color w:val="auto"/>
              </w:rPr>
            </w:pPr>
          </w:p>
          <w:p w14:paraId="4451F518" w14:textId="77777777" w:rsidR="008E267D" w:rsidRPr="007E72F9" w:rsidRDefault="008E267D" w:rsidP="008E267D">
            <w:pPr>
              <w:textAlignment w:val="baseline"/>
              <w:rPr>
                <w:rFonts w:asciiTheme="minorHAnsi" w:eastAsia="Times New Roman" w:hAnsiTheme="minorHAnsi" w:cstheme="minorHAnsi"/>
                <w:color w:val="auto"/>
              </w:rPr>
            </w:pPr>
            <w:r w:rsidRPr="007E72F9">
              <w:rPr>
                <w:rFonts w:asciiTheme="minorHAnsi" w:eastAsia="Times New Roman" w:hAnsiTheme="minorHAnsi" w:cstheme="minorHAnsi"/>
                <w:color w:val="auto"/>
              </w:rPr>
              <w:t xml:space="preserve">Zhang K </w:t>
            </w:r>
            <w:r w:rsidRPr="007E72F9">
              <w:rPr>
                <w:rFonts w:asciiTheme="minorHAnsi" w:eastAsia="Times New Roman" w:hAnsiTheme="minorHAnsi" w:cstheme="minorHAnsi"/>
                <w:i/>
                <w:iCs/>
                <w:color w:val="auto"/>
              </w:rPr>
              <w:t>et al</w:t>
            </w:r>
            <w:r w:rsidRPr="007E72F9">
              <w:rPr>
                <w:rFonts w:asciiTheme="minorHAnsi" w:eastAsia="Times New Roman" w:hAnsiTheme="minorHAnsi" w:cstheme="minorHAnsi"/>
                <w:color w:val="auto"/>
              </w:rPr>
              <w:t xml:space="preserve">. Self-supervised learning for time series analysis: taxonomy, progress, and prospects, </w:t>
            </w:r>
            <w:r w:rsidRPr="007E72F9">
              <w:rPr>
                <w:rFonts w:asciiTheme="minorHAnsi" w:eastAsia="Times New Roman" w:hAnsiTheme="minorHAnsi" w:cstheme="minorHAnsi"/>
                <w:i/>
                <w:iCs/>
                <w:color w:val="auto"/>
              </w:rPr>
              <w:t xml:space="preserve">IEEE Trans Pat Analysis and Machine Intell. </w:t>
            </w:r>
            <w:r w:rsidRPr="007E72F9">
              <w:rPr>
                <w:rFonts w:asciiTheme="minorHAnsi" w:eastAsia="Times New Roman" w:hAnsiTheme="minorHAnsi" w:cstheme="minorHAnsi"/>
                <w:color w:val="auto"/>
              </w:rPr>
              <w:t xml:space="preserve">2024  46(10), 6775-6794, doi: 10.1109/TPAMI.2024.3387317 </w:t>
            </w:r>
          </w:p>
          <w:p w14:paraId="7D2CFDBB" w14:textId="77777777" w:rsidR="003A7DAE" w:rsidRPr="007E72F9" w:rsidRDefault="003A7DAE" w:rsidP="00ED69E6">
            <w:pPr>
              <w:rPr>
                <w:rFonts w:asciiTheme="minorHAnsi" w:hAnsiTheme="minorHAnsi" w:cstheme="minorHAnsi"/>
                <w:b/>
                <w:color w:val="auto"/>
              </w:rPr>
            </w:pPr>
          </w:p>
          <w:p w14:paraId="4CC99A4B" w14:textId="55A384DD" w:rsidR="003A7DAE" w:rsidRPr="007E72F9" w:rsidRDefault="003A7DAE" w:rsidP="00ED69E6">
            <w:pPr>
              <w:rPr>
                <w:rFonts w:asciiTheme="minorHAnsi" w:hAnsiTheme="minorHAnsi" w:cstheme="minorHAnsi"/>
                <w:b/>
                <w:color w:val="auto"/>
              </w:rPr>
            </w:pPr>
          </w:p>
        </w:tc>
      </w:tr>
    </w:tbl>
    <w:p w14:paraId="7FEF6135" w14:textId="77777777" w:rsidR="00066C81" w:rsidRPr="007E72F9" w:rsidRDefault="00066C81" w:rsidP="00066C81">
      <w:pPr>
        <w:spacing w:after="0" w:line="240" w:lineRule="auto"/>
        <w:rPr>
          <w:rFonts w:asciiTheme="minorHAnsi" w:hAnsiTheme="minorHAnsi" w:cstheme="minorHAnsi"/>
          <w:b/>
          <w:color w:val="auto"/>
          <w:u w:val="single"/>
        </w:rPr>
      </w:pPr>
    </w:p>
    <w:p w14:paraId="1D713C9F" w14:textId="77777777" w:rsidR="00066C81" w:rsidRPr="007E72F9" w:rsidRDefault="00066C81" w:rsidP="00066C81">
      <w:pPr>
        <w:spacing w:after="0" w:line="240" w:lineRule="auto"/>
        <w:rPr>
          <w:rFonts w:asciiTheme="minorHAnsi" w:hAnsiTheme="minorHAnsi" w:cstheme="minorHAnsi"/>
          <w:b/>
          <w:bCs/>
          <w:color w:val="auto"/>
        </w:rPr>
      </w:pPr>
    </w:p>
    <w:sectPr w:rsidR="00066C81" w:rsidRPr="007E72F9"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F034B"/>
    <w:rsid w:val="003A7DAE"/>
    <w:rsid w:val="007E72F9"/>
    <w:rsid w:val="00803EC8"/>
    <w:rsid w:val="00833366"/>
    <w:rsid w:val="00850BDA"/>
    <w:rsid w:val="008E267D"/>
    <w:rsid w:val="009C47A8"/>
    <w:rsid w:val="00AE49DF"/>
    <w:rsid w:val="00BB70D0"/>
    <w:rsid w:val="00BD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2024-12-18T14:59:00Z</dcterms:created>
  <dcterms:modified xsi:type="dcterms:W3CDTF">2024-12-19T10:53:00Z</dcterms:modified>
</cp:coreProperties>
</file>