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7E74" w14:textId="329DAD9F" w:rsidR="00AD0B73" w:rsidRPr="00AD0B73" w:rsidRDefault="00AD0B73" w:rsidP="00AD0B73">
      <w:pPr>
        <w:rPr>
          <w:b/>
          <w:bCs/>
          <w:sz w:val="28"/>
          <w:szCs w:val="28"/>
        </w:rPr>
      </w:pPr>
      <w:r w:rsidRPr="00AD0B73">
        <w:rPr>
          <w:b/>
          <w:bCs/>
          <w:sz w:val="28"/>
          <w:szCs w:val="28"/>
        </w:rPr>
        <w:t>University of Leicester</w:t>
      </w:r>
    </w:p>
    <w:p w14:paraId="02E89429" w14:textId="561FC74A" w:rsidR="00AD0B73" w:rsidRPr="00AD0B73" w:rsidRDefault="00AD0B73" w:rsidP="00AD0B73">
      <w:pPr>
        <w:rPr>
          <w:b/>
          <w:bCs/>
          <w:sz w:val="28"/>
          <w:szCs w:val="28"/>
        </w:rPr>
      </w:pPr>
      <w:r w:rsidRPr="00AD0B73">
        <w:rPr>
          <w:b/>
          <w:bCs/>
          <w:sz w:val="28"/>
          <w:szCs w:val="28"/>
        </w:rPr>
        <w:t xml:space="preserve">School of </w:t>
      </w:r>
      <w:proofErr w:type="gramStart"/>
      <w:r w:rsidRPr="00AD0B73">
        <w:rPr>
          <w:b/>
          <w:bCs/>
          <w:sz w:val="28"/>
          <w:szCs w:val="28"/>
        </w:rPr>
        <w:t>Engineering  -</w:t>
      </w:r>
      <w:proofErr w:type="gramEnd"/>
      <w:r w:rsidRPr="00AD0B73">
        <w:rPr>
          <w:b/>
          <w:bCs/>
          <w:sz w:val="28"/>
          <w:szCs w:val="28"/>
        </w:rPr>
        <w:t xml:space="preserve"> Les Booth Studentship 2025</w:t>
      </w:r>
    </w:p>
    <w:p w14:paraId="00C86020" w14:textId="47C4E59E" w:rsidR="00AD0B73" w:rsidRDefault="00AD0B73" w:rsidP="00AD0B73">
      <w:pPr>
        <w:rPr>
          <w:b/>
          <w:bCs/>
        </w:rPr>
      </w:pPr>
    </w:p>
    <w:p w14:paraId="0A9AED39" w14:textId="77777777" w:rsidR="00C34BCE" w:rsidRDefault="00F46F90" w:rsidP="00C34BCE">
      <w:pPr>
        <w:spacing w:line="276" w:lineRule="auto"/>
        <w:rPr>
          <w:rFonts w:eastAsia="Calibri"/>
        </w:rPr>
      </w:pPr>
      <w:r w:rsidRPr="001F13FA">
        <w:rPr>
          <w:rFonts w:eastAsia="Calibri"/>
          <w:b/>
          <w:bCs/>
          <w:kern w:val="0"/>
          <w:lang w:eastAsia="en-US" w:bidi="ar-SA"/>
        </w:rPr>
        <w:t>Project</w:t>
      </w:r>
      <w:r>
        <w:rPr>
          <w:rFonts w:eastAsia="Calibri"/>
          <w:b/>
          <w:bCs/>
          <w:kern w:val="0"/>
          <w:sz w:val="22"/>
          <w:szCs w:val="22"/>
          <w:lang w:eastAsia="en-US" w:bidi="ar-SA"/>
        </w:rPr>
        <w:t xml:space="preserve"> </w:t>
      </w:r>
      <w:r w:rsidR="00C34BCE">
        <w:rPr>
          <w:rFonts w:eastAsia="Calibri"/>
          <w:b/>
          <w:bCs/>
          <w:kern w:val="0"/>
          <w:sz w:val="22"/>
          <w:szCs w:val="22"/>
          <w:lang w:eastAsia="en-US" w:bidi="ar-SA"/>
        </w:rPr>
        <w:t>6. Optimised lattice structure in HPDC mould for better conformal cooling</w:t>
      </w:r>
    </w:p>
    <w:p w14:paraId="748B5083" w14:textId="1B88D734" w:rsidR="00C34BCE" w:rsidRDefault="00C34BCE" w:rsidP="00C34BCE">
      <w:pPr>
        <w:spacing w:line="276" w:lineRule="auto"/>
        <w:rPr>
          <w:rStyle w:val="Hyperlink"/>
          <w:rFonts w:eastAsia="Calibri"/>
          <w:kern w:val="0"/>
          <w:sz w:val="22"/>
          <w:szCs w:val="22"/>
          <w:lang w:eastAsia="en-US" w:bidi="ar-SA"/>
        </w:rPr>
      </w:pPr>
      <w:proofErr w:type="spellStart"/>
      <w:r>
        <w:rPr>
          <w:rFonts w:eastAsia="Calibri"/>
          <w:kern w:val="0"/>
          <w:sz w:val="22"/>
          <w:szCs w:val="22"/>
          <w:lang w:eastAsia="en-US" w:bidi="ar-SA"/>
        </w:rPr>
        <w:t>Dr.</w:t>
      </w:r>
      <w:proofErr w:type="spellEnd"/>
      <w:r>
        <w:rPr>
          <w:rFonts w:eastAsia="Calibri"/>
          <w:kern w:val="0"/>
          <w:sz w:val="22"/>
          <w:szCs w:val="22"/>
          <w:lang w:eastAsia="en-US" w:bidi="ar-SA"/>
        </w:rPr>
        <w:t xml:space="preserve"> Essam Abo-Serie - </w:t>
      </w:r>
      <w:hyperlink r:id="rId5">
        <w:r>
          <w:rPr>
            <w:rStyle w:val="Hyperlink"/>
            <w:rFonts w:eastAsia="Calibri"/>
            <w:kern w:val="0"/>
            <w:sz w:val="22"/>
            <w:szCs w:val="22"/>
            <w:lang w:eastAsia="en-US" w:bidi="ar-SA"/>
          </w:rPr>
          <w:t>e.aboserie@leicester.ac.uk</w:t>
        </w:r>
      </w:hyperlink>
    </w:p>
    <w:p w14:paraId="6BB4B071" w14:textId="77777777" w:rsidR="00C34BCE" w:rsidRDefault="00C34BCE" w:rsidP="00C34BCE">
      <w:pPr>
        <w:spacing w:line="276" w:lineRule="auto"/>
        <w:rPr>
          <w:rFonts w:eastAsia="Calibri"/>
        </w:rPr>
      </w:pPr>
    </w:p>
    <w:tbl>
      <w:tblPr>
        <w:tblW w:w="9016" w:type="dxa"/>
        <w:tblLayout w:type="fixed"/>
        <w:tblLook w:val="04A0" w:firstRow="1" w:lastRow="0" w:firstColumn="1" w:lastColumn="0" w:noHBand="0" w:noVBand="1"/>
      </w:tblPr>
      <w:tblGrid>
        <w:gridCol w:w="1979"/>
        <w:gridCol w:w="421"/>
        <w:gridCol w:w="6616"/>
      </w:tblGrid>
      <w:tr w:rsidR="00C34BCE" w14:paraId="633AA557" w14:textId="77777777" w:rsidTr="00630C82">
        <w:tc>
          <w:tcPr>
            <w:tcW w:w="1979" w:type="dxa"/>
            <w:shd w:val="clear" w:color="auto" w:fill="F2F2F2" w:themeFill="background1" w:themeFillShade="F2"/>
          </w:tcPr>
          <w:p w14:paraId="1F9CA342" w14:textId="77777777" w:rsidR="00C34BCE" w:rsidRDefault="00C34BCE" w:rsidP="00630C82">
            <w:pPr>
              <w:spacing w:line="276" w:lineRule="auto"/>
              <w:rPr>
                <w:b/>
              </w:rPr>
            </w:pPr>
            <w:r>
              <w:rPr>
                <w:rFonts w:eastAsia="Calibri"/>
                <w:b/>
                <w:kern w:val="0"/>
                <w:sz w:val="22"/>
                <w:szCs w:val="22"/>
                <w:lang w:eastAsia="en-US" w:bidi="ar-SA"/>
              </w:rPr>
              <w:t>Project Title</w:t>
            </w:r>
          </w:p>
        </w:tc>
        <w:tc>
          <w:tcPr>
            <w:tcW w:w="7037" w:type="dxa"/>
            <w:gridSpan w:val="2"/>
          </w:tcPr>
          <w:p w14:paraId="572FE395" w14:textId="77777777" w:rsidR="00C34BCE" w:rsidRDefault="00C34BCE" w:rsidP="00630C82">
            <w:pPr>
              <w:spacing w:line="276" w:lineRule="auto"/>
              <w:rPr>
                <w:rFonts w:eastAsia="Calibri"/>
              </w:rPr>
            </w:pPr>
            <w:proofErr w:type="spellStart"/>
            <w:r>
              <w:rPr>
                <w:rFonts w:eastAsia="Calibri"/>
                <w:b/>
                <w:bCs/>
                <w:kern w:val="0"/>
                <w:sz w:val="22"/>
                <w:szCs w:val="22"/>
                <w:lang w:val="en-US" w:eastAsia="en-US" w:bidi="ar-SA"/>
              </w:rPr>
              <w:t>Optimised</w:t>
            </w:r>
            <w:proofErr w:type="spellEnd"/>
            <w:r>
              <w:rPr>
                <w:rFonts w:eastAsia="Calibri"/>
                <w:b/>
                <w:bCs/>
                <w:kern w:val="0"/>
                <w:sz w:val="22"/>
                <w:szCs w:val="22"/>
                <w:lang w:val="en-US" w:eastAsia="en-US" w:bidi="ar-SA"/>
              </w:rPr>
              <w:t xml:space="preserve"> lattice structure in HPDC </w:t>
            </w:r>
            <w:proofErr w:type="spellStart"/>
            <w:r>
              <w:rPr>
                <w:rFonts w:eastAsia="Calibri"/>
                <w:b/>
                <w:bCs/>
                <w:kern w:val="0"/>
                <w:sz w:val="22"/>
                <w:szCs w:val="22"/>
                <w:lang w:val="en-US" w:eastAsia="en-US" w:bidi="ar-SA"/>
              </w:rPr>
              <w:t>mould</w:t>
            </w:r>
            <w:proofErr w:type="spellEnd"/>
            <w:r>
              <w:rPr>
                <w:rFonts w:eastAsia="Calibri"/>
                <w:b/>
                <w:bCs/>
                <w:kern w:val="0"/>
                <w:sz w:val="22"/>
                <w:szCs w:val="22"/>
                <w:lang w:val="en-US" w:eastAsia="en-US" w:bidi="ar-SA"/>
              </w:rPr>
              <w:t xml:space="preserve"> for better conformal cooling</w:t>
            </w:r>
          </w:p>
        </w:tc>
      </w:tr>
      <w:tr w:rsidR="00C34BCE" w14:paraId="4E5C1D21" w14:textId="77777777" w:rsidTr="00630C82">
        <w:tc>
          <w:tcPr>
            <w:tcW w:w="1979" w:type="dxa"/>
            <w:vMerge w:val="restart"/>
            <w:shd w:val="clear" w:color="auto" w:fill="F2F2F2" w:themeFill="background1" w:themeFillShade="F2"/>
          </w:tcPr>
          <w:p w14:paraId="5BE5EF1E" w14:textId="77777777" w:rsidR="00C34BCE" w:rsidRDefault="00C34BCE" w:rsidP="00630C82">
            <w:pPr>
              <w:spacing w:line="276" w:lineRule="auto"/>
              <w:rPr>
                <w:b/>
              </w:rPr>
            </w:pPr>
            <w:r>
              <w:rPr>
                <w:rFonts w:eastAsia="Calibri"/>
                <w:b/>
                <w:kern w:val="0"/>
                <w:sz w:val="22"/>
                <w:szCs w:val="22"/>
                <w:lang w:eastAsia="en-US" w:bidi="ar-SA"/>
              </w:rPr>
              <w:t>Project Highlights:</w:t>
            </w:r>
          </w:p>
        </w:tc>
        <w:tc>
          <w:tcPr>
            <w:tcW w:w="421" w:type="dxa"/>
            <w:shd w:val="clear" w:color="auto" w:fill="F2F2F2" w:themeFill="background1" w:themeFillShade="F2"/>
          </w:tcPr>
          <w:p w14:paraId="1F133D0C" w14:textId="77777777" w:rsidR="00C34BCE" w:rsidRDefault="00C34BCE" w:rsidP="00630C82">
            <w:pPr>
              <w:spacing w:line="276" w:lineRule="auto"/>
              <w:rPr>
                <w:rFonts w:eastAsia="Calibri"/>
              </w:rPr>
            </w:pPr>
            <w:r>
              <w:rPr>
                <w:rFonts w:eastAsia="Calibri"/>
                <w:kern w:val="0"/>
                <w:sz w:val="22"/>
                <w:szCs w:val="22"/>
                <w:lang w:eastAsia="en-US" w:bidi="ar-SA"/>
              </w:rPr>
              <w:t>1.</w:t>
            </w:r>
          </w:p>
        </w:tc>
        <w:tc>
          <w:tcPr>
            <w:tcW w:w="6616" w:type="dxa"/>
          </w:tcPr>
          <w:p w14:paraId="4019C575" w14:textId="77777777" w:rsidR="00C34BCE" w:rsidRDefault="00C34BCE" w:rsidP="00630C82">
            <w:pPr>
              <w:spacing w:line="276" w:lineRule="auto"/>
              <w:rPr>
                <w:rFonts w:eastAsia="Calibri"/>
              </w:rPr>
            </w:pPr>
            <w:r>
              <w:rPr>
                <w:rFonts w:eastAsia="Calibri"/>
                <w:kern w:val="0"/>
                <w:sz w:val="22"/>
                <w:szCs w:val="22"/>
                <w:lang w:bidi="ar-SA"/>
              </w:rPr>
              <w:t>Lattice structure mechanical and thermal properties in the HPDC</w:t>
            </w:r>
          </w:p>
          <w:p w14:paraId="37B8FA03" w14:textId="77777777" w:rsidR="00C34BCE" w:rsidRDefault="00C34BCE" w:rsidP="00630C82">
            <w:pPr>
              <w:spacing w:line="276" w:lineRule="auto"/>
              <w:rPr>
                <w:rFonts w:eastAsia="Calibri"/>
              </w:rPr>
            </w:pPr>
            <w:r>
              <w:rPr>
                <w:rFonts w:eastAsia="Calibri"/>
                <w:kern w:val="0"/>
                <w:sz w:val="22"/>
                <w:szCs w:val="22"/>
                <w:lang w:bidi="ar-SA"/>
              </w:rPr>
              <w:t>moulds</w:t>
            </w:r>
          </w:p>
        </w:tc>
      </w:tr>
      <w:tr w:rsidR="00C34BCE" w14:paraId="2FA72026" w14:textId="77777777" w:rsidTr="00630C82">
        <w:tc>
          <w:tcPr>
            <w:tcW w:w="1979" w:type="dxa"/>
            <w:vMerge/>
            <w:shd w:val="clear" w:color="auto" w:fill="F2F2F2" w:themeFill="background1" w:themeFillShade="F2"/>
          </w:tcPr>
          <w:p w14:paraId="3ED6653D" w14:textId="77777777" w:rsidR="00C34BCE" w:rsidRDefault="00C34BCE" w:rsidP="00630C82">
            <w:pPr>
              <w:spacing w:line="276" w:lineRule="auto"/>
              <w:rPr>
                <w:b/>
              </w:rPr>
            </w:pPr>
          </w:p>
        </w:tc>
        <w:tc>
          <w:tcPr>
            <w:tcW w:w="421" w:type="dxa"/>
            <w:shd w:val="clear" w:color="auto" w:fill="F2F2F2" w:themeFill="background1" w:themeFillShade="F2"/>
          </w:tcPr>
          <w:p w14:paraId="41F69E5E" w14:textId="77777777" w:rsidR="00C34BCE" w:rsidRDefault="00C34BCE" w:rsidP="00630C82">
            <w:pPr>
              <w:spacing w:line="276" w:lineRule="auto"/>
              <w:rPr>
                <w:rFonts w:eastAsia="Calibri"/>
              </w:rPr>
            </w:pPr>
            <w:r>
              <w:rPr>
                <w:rFonts w:eastAsia="Calibri"/>
                <w:kern w:val="0"/>
                <w:sz w:val="22"/>
                <w:szCs w:val="22"/>
                <w:lang w:eastAsia="en-US" w:bidi="ar-SA"/>
              </w:rPr>
              <w:t>2.</w:t>
            </w:r>
          </w:p>
        </w:tc>
        <w:tc>
          <w:tcPr>
            <w:tcW w:w="6616" w:type="dxa"/>
          </w:tcPr>
          <w:p w14:paraId="2D264162" w14:textId="77777777" w:rsidR="00C34BCE" w:rsidRDefault="00C34BCE" w:rsidP="00630C82">
            <w:pPr>
              <w:spacing w:line="276" w:lineRule="auto"/>
              <w:rPr>
                <w:rFonts w:eastAsia="Calibri"/>
                <w:lang w:val="en-US"/>
              </w:rPr>
            </w:pPr>
            <w:r>
              <w:rPr>
                <w:rFonts w:eastAsia="Calibri"/>
                <w:kern w:val="0"/>
                <w:sz w:val="22"/>
                <w:szCs w:val="22"/>
                <w:lang w:val="en-US" w:bidi="ar-SA"/>
              </w:rPr>
              <w:t xml:space="preserve">Optimum Lattice structure distribution to improve cooling using adjoint </w:t>
            </w:r>
            <w:proofErr w:type="spellStart"/>
            <w:r>
              <w:rPr>
                <w:rFonts w:eastAsia="Calibri"/>
                <w:kern w:val="0"/>
                <w:sz w:val="22"/>
                <w:szCs w:val="22"/>
                <w:lang w:val="en-US" w:bidi="ar-SA"/>
              </w:rPr>
              <w:t>optimisation</w:t>
            </w:r>
            <w:proofErr w:type="spellEnd"/>
            <w:r>
              <w:rPr>
                <w:rFonts w:eastAsia="Calibri"/>
                <w:kern w:val="0"/>
                <w:sz w:val="22"/>
                <w:szCs w:val="22"/>
                <w:lang w:val="en-US" w:bidi="ar-SA"/>
              </w:rPr>
              <w:t xml:space="preserve"> method applied in a </w:t>
            </w:r>
            <w:proofErr w:type="spellStart"/>
            <w:r>
              <w:rPr>
                <w:rFonts w:eastAsia="Calibri"/>
                <w:kern w:val="0"/>
                <w:sz w:val="22"/>
                <w:szCs w:val="22"/>
                <w:lang w:val="en-US" w:bidi="ar-SA"/>
              </w:rPr>
              <w:t>thermofluids</w:t>
            </w:r>
            <w:proofErr w:type="spellEnd"/>
            <w:r>
              <w:rPr>
                <w:rFonts w:eastAsia="Calibri"/>
                <w:kern w:val="0"/>
                <w:sz w:val="22"/>
                <w:szCs w:val="22"/>
                <w:lang w:val="en-US" w:bidi="ar-SA"/>
              </w:rPr>
              <w:t xml:space="preserve"> model</w:t>
            </w:r>
          </w:p>
        </w:tc>
      </w:tr>
      <w:tr w:rsidR="00C34BCE" w14:paraId="3A1B7CF5" w14:textId="77777777" w:rsidTr="00630C82">
        <w:tc>
          <w:tcPr>
            <w:tcW w:w="1979" w:type="dxa"/>
            <w:vMerge/>
            <w:shd w:val="clear" w:color="auto" w:fill="F2F2F2" w:themeFill="background1" w:themeFillShade="F2"/>
          </w:tcPr>
          <w:p w14:paraId="39891996" w14:textId="77777777" w:rsidR="00C34BCE" w:rsidRDefault="00C34BCE" w:rsidP="00630C82">
            <w:pPr>
              <w:spacing w:line="276" w:lineRule="auto"/>
              <w:rPr>
                <w:b/>
              </w:rPr>
            </w:pPr>
          </w:p>
        </w:tc>
        <w:tc>
          <w:tcPr>
            <w:tcW w:w="421" w:type="dxa"/>
            <w:shd w:val="clear" w:color="auto" w:fill="F2F2F2" w:themeFill="background1" w:themeFillShade="F2"/>
          </w:tcPr>
          <w:p w14:paraId="5BA769C8" w14:textId="77777777" w:rsidR="00C34BCE" w:rsidRDefault="00C34BCE" w:rsidP="00630C82">
            <w:pPr>
              <w:spacing w:line="276" w:lineRule="auto"/>
              <w:rPr>
                <w:rFonts w:eastAsia="Calibri"/>
              </w:rPr>
            </w:pPr>
            <w:r>
              <w:rPr>
                <w:rFonts w:eastAsia="Calibri"/>
                <w:kern w:val="0"/>
                <w:sz w:val="22"/>
                <w:szCs w:val="22"/>
                <w:lang w:eastAsia="en-US" w:bidi="ar-SA"/>
              </w:rPr>
              <w:t>3.</w:t>
            </w:r>
          </w:p>
        </w:tc>
        <w:tc>
          <w:tcPr>
            <w:tcW w:w="6616" w:type="dxa"/>
          </w:tcPr>
          <w:p w14:paraId="2BB4C427" w14:textId="77777777" w:rsidR="00C34BCE" w:rsidRDefault="00C34BCE" w:rsidP="00630C82">
            <w:pPr>
              <w:spacing w:line="276" w:lineRule="auto"/>
              <w:rPr>
                <w:rFonts w:eastAsia="Calibri"/>
                <w:kern w:val="0"/>
                <w:sz w:val="22"/>
                <w:szCs w:val="22"/>
                <w:lang w:bidi="ar-SA"/>
              </w:rPr>
            </w:pPr>
            <w:r>
              <w:rPr>
                <w:rFonts w:eastAsia="Calibri"/>
                <w:kern w:val="0"/>
                <w:sz w:val="22"/>
                <w:szCs w:val="22"/>
                <w:lang w:bidi="ar-SA"/>
              </w:rPr>
              <w:t>Experimental validation of the model and application to a complex industrial mould</w:t>
            </w:r>
          </w:p>
          <w:p w14:paraId="4091F2C6" w14:textId="0DE1D4FE" w:rsidR="00C34BCE" w:rsidRDefault="00C34BCE" w:rsidP="00630C82">
            <w:pPr>
              <w:spacing w:line="276" w:lineRule="auto"/>
              <w:rPr>
                <w:rFonts w:eastAsia="Calibri"/>
              </w:rPr>
            </w:pPr>
          </w:p>
        </w:tc>
      </w:tr>
      <w:tr w:rsidR="00C34BCE" w14:paraId="44478C4E" w14:textId="77777777" w:rsidTr="00630C82">
        <w:tc>
          <w:tcPr>
            <w:tcW w:w="9016" w:type="dxa"/>
            <w:gridSpan w:val="3"/>
            <w:shd w:val="clear" w:color="auto" w:fill="F2F2F2" w:themeFill="background1" w:themeFillShade="F2"/>
          </w:tcPr>
          <w:p w14:paraId="4B95937A" w14:textId="50D5E8A1" w:rsidR="00C34BCE" w:rsidRDefault="00C34BCE" w:rsidP="00630C82">
            <w:pPr>
              <w:spacing w:line="276" w:lineRule="auto"/>
              <w:rPr>
                <w:rFonts w:eastAsia="Calibri"/>
              </w:rPr>
            </w:pPr>
            <w:r>
              <w:rPr>
                <w:rFonts w:eastAsia="Calibri"/>
                <w:b/>
                <w:kern w:val="0"/>
                <w:sz w:val="22"/>
                <w:szCs w:val="22"/>
                <w:lang w:eastAsia="en-US" w:bidi="ar-SA"/>
              </w:rPr>
              <w:t xml:space="preserve">Project Overview </w:t>
            </w:r>
          </w:p>
        </w:tc>
      </w:tr>
      <w:tr w:rsidR="00C34BCE" w14:paraId="48583834" w14:textId="77777777" w:rsidTr="00630C82">
        <w:tc>
          <w:tcPr>
            <w:tcW w:w="9016" w:type="dxa"/>
            <w:gridSpan w:val="3"/>
          </w:tcPr>
          <w:p w14:paraId="07DE7623" w14:textId="77777777" w:rsidR="00C34BCE" w:rsidRDefault="00C34BCE" w:rsidP="00630C82">
            <w:pPr>
              <w:rPr>
                <w:b/>
              </w:rPr>
            </w:pPr>
            <w:r>
              <w:rPr>
                <w:kern w:val="0"/>
                <w:sz w:val="22"/>
                <w:szCs w:val="22"/>
                <w:lang w:bidi="ar-SA"/>
              </w:rPr>
              <w:t>The application of conformal cooling (CC) in high-pressure die casting (HPDC) in 3D-printed steel moulds/inserts for aluminium casting has demonstrated significant benefits, including up to 80% reduction in cooling time and 60–70% decrease in cycle time [1]. Our recent research employing adjoint optimisation has further shown that CC can triple the service life of 3D-printed mould [2].</w:t>
            </w:r>
          </w:p>
          <w:p w14:paraId="7C66E278" w14:textId="77777777" w:rsidR="00C34BCE" w:rsidRDefault="00C34BCE" w:rsidP="00630C82">
            <w:pPr>
              <w:rPr>
                <w:b/>
              </w:rPr>
            </w:pPr>
          </w:p>
          <w:p w14:paraId="120B19EC" w14:textId="77777777" w:rsidR="00C34BCE" w:rsidRDefault="00C34BCE" w:rsidP="00630C82">
            <w:pPr>
              <w:rPr>
                <w:b/>
              </w:rPr>
            </w:pPr>
            <w:r>
              <w:rPr>
                <w:kern w:val="0"/>
                <w:sz w:val="22"/>
                <w:szCs w:val="22"/>
                <w:lang w:bidi="ar-SA"/>
              </w:rPr>
              <w:t>Despite these significant improvements, high thermal gradients can be found in specific regions of complex mould geometries; particularly near small intrusions, sharp corners, and fins (see Fig. 1a–1b). These areas often experience insufficient cooling due to industrial limitations that prevent close or embedded placement of small cooling channels near the cavity. Such temperature gradients can cause thermal stresses, leading to local cracking and rendering the entire mould unusable.</w:t>
            </w:r>
          </w:p>
          <w:p w14:paraId="4EEE1DD1" w14:textId="77777777" w:rsidR="00C34BCE" w:rsidRDefault="00C34BCE" w:rsidP="00630C82">
            <w:pPr>
              <w:rPr>
                <w:b/>
              </w:rPr>
            </w:pPr>
          </w:p>
          <w:p w14:paraId="1FFAC5C7" w14:textId="77777777" w:rsidR="00C34BCE" w:rsidRDefault="00C34BCE" w:rsidP="00630C82">
            <w:pPr>
              <w:rPr>
                <w:b/>
              </w:rPr>
            </w:pPr>
            <w:r>
              <w:rPr>
                <w:kern w:val="0"/>
                <w:sz w:val="22"/>
                <w:szCs w:val="22"/>
                <w:lang w:bidi="ar-SA"/>
              </w:rPr>
              <w:t>Optimising the heat flux transfer from the molten aluminium inside the mould cavity to the coolant can also significantly enhance the casting product quality and its mechanical properties. It is also worth to mentioning that the lattice structure was successfully implemented in the casting mould to achieve lightweight structure [1]. To address this issue, we propose 3D-printing lattice structures within an industrial mould in areas</w:t>
            </w:r>
          </w:p>
          <w:p w14:paraId="72821784" w14:textId="77777777" w:rsidR="00C34BCE" w:rsidRDefault="00C34BCE" w:rsidP="00630C82">
            <w:pPr>
              <w:rPr>
                <w:b/>
              </w:rPr>
            </w:pPr>
            <w:r>
              <w:rPr>
                <w:kern w:val="0"/>
                <w:sz w:val="22"/>
                <w:szCs w:val="22"/>
                <w:lang w:bidi="ar-SA"/>
              </w:rPr>
              <w:t xml:space="preserve">where thermal resistance required to be increased, to modify the path of heat flux. In a recent study, we implemented lattice structures as sleeves around cooling channels in corners areas, achieving a 42% improvement in temperature uniformity [3]. In this project the aims </w:t>
            </w:r>
            <w:proofErr w:type="gramStart"/>
            <w:r>
              <w:rPr>
                <w:kern w:val="0"/>
                <w:sz w:val="22"/>
                <w:szCs w:val="22"/>
                <w:lang w:bidi="ar-SA"/>
              </w:rPr>
              <w:t>is</w:t>
            </w:r>
            <w:proofErr w:type="gramEnd"/>
            <w:r>
              <w:rPr>
                <w:kern w:val="0"/>
                <w:sz w:val="22"/>
                <w:szCs w:val="22"/>
                <w:lang w:bidi="ar-SA"/>
              </w:rPr>
              <w:t xml:space="preserve"> to optimise internal heat transfer pathway using various lattice structure configurations in the mould to minimise thermal gradients and improve surface temperature uniformity at the cavity interface.</w:t>
            </w:r>
          </w:p>
          <w:p w14:paraId="03CD13F3" w14:textId="77777777" w:rsidR="00C34BCE" w:rsidRDefault="00C34BCE" w:rsidP="00630C82">
            <w:pPr>
              <w:rPr>
                <w:b/>
              </w:rPr>
            </w:pPr>
          </w:p>
          <w:p w14:paraId="6D830174" w14:textId="77777777" w:rsidR="00C34BCE" w:rsidRDefault="00C34BCE" w:rsidP="00630C82">
            <w:pPr>
              <w:rPr>
                <w:b/>
              </w:rPr>
            </w:pPr>
            <w:r>
              <w:rPr>
                <w:kern w:val="0"/>
                <w:sz w:val="22"/>
                <w:szCs w:val="22"/>
                <w:lang w:bidi="ar-SA"/>
              </w:rPr>
              <w:t xml:space="preserve">The lattice structure will be an additional design variable in adjoint optimisation technique, enhancing control over thermal conductivity distribution. The work will build upon a validated thermal optimisation model developed during a 4-year Innovate UK project with </w:t>
            </w:r>
            <w:proofErr w:type="spellStart"/>
            <w:r>
              <w:rPr>
                <w:kern w:val="0"/>
                <w:sz w:val="22"/>
                <w:szCs w:val="22"/>
                <w:lang w:bidi="ar-SA"/>
              </w:rPr>
              <w:t>CastAlum</w:t>
            </w:r>
            <w:proofErr w:type="spellEnd"/>
            <w:r>
              <w:rPr>
                <w:kern w:val="0"/>
                <w:sz w:val="22"/>
                <w:szCs w:val="22"/>
                <w:lang w:bidi="ar-SA"/>
              </w:rPr>
              <w:t>, and supports the continuation of this collaboration in future proposals.</w:t>
            </w:r>
          </w:p>
          <w:p w14:paraId="55DBB779" w14:textId="77777777" w:rsidR="00C34BCE" w:rsidRDefault="00C34BCE" w:rsidP="00630C82">
            <w:pPr>
              <w:rPr>
                <w:b/>
              </w:rPr>
            </w:pPr>
          </w:p>
          <w:p w14:paraId="691A925E" w14:textId="77777777" w:rsidR="00C34BCE" w:rsidRDefault="00C34BCE" w:rsidP="00630C82">
            <w:pPr>
              <w:rPr>
                <w:b/>
              </w:rPr>
            </w:pPr>
            <w:r>
              <w:rPr>
                <w:kern w:val="0"/>
                <w:sz w:val="22"/>
                <w:szCs w:val="22"/>
                <w:lang w:bidi="ar-SA"/>
              </w:rPr>
              <w:t>The research fits with the activities provided by EPSRC centre of Doctoral Training (</w:t>
            </w:r>
            <w:proofErr w:type="spellStart"/>
            <w:r>
              <w:rPr>
                <w:kern w:val="0"/>
                <w:sz w:val="22"/>
                <w:szCs w:val="22"/>
                <w:lang w:bidi="ar-SA"/>
              </w:rPr>
              <w:t>DigitalMetal</w:t>
            </w:r>
            <w:proofErr w:type="spellEnd"/>
            <w:r>
              <w:rPr>
                <w:kern w:val="0"/>
                <w:sz w:val="22"/>
                <w:szCs w:val="22"/>
                <w:lang w:bidi="ar-SA"/>
              </w:rPr>
              <w:t>-CDT) and supported by existing facilities available in our lab; shown in Fig. 2.</w:t>
            </w:r>
            <w:r>
              <w:rPr>
                <w:kern w:val="0"/>
                <w:lang w:bidi="ar-SA"/>
              </w:rPr>
              <w:t xml:space="preserve"> </w:t>
            </w:r>
          </w:p>
          <w:p w14:paraId="3B6E1231" w14:textId="77777777" w:rsidR="00C34BCE" w:rsidRDefault="00C34BCE" w:rsidP="00630C82">
            <w:pPr>
              <w:rPr>
                <w:b/>
              </w:rPr>
            </w:pPr>
            <w:r>
              <w:rPr>
                <w:noProof/>
                <w:kern w:val="0"/>
                <w:lang w:bidi="ar-SA"/>
              </w:rPr>
              <w:lastRenderedPageBreak/>
              <w:drawing>
                <wp:anchor distT="0" distB="0" distL="0" distR="0" simplePos="0" relativeHeight="251659264" behindDoc="0" locked="0" layoutInCell="0" allowOverlap="1" wp14:anchorId="7C48025A" wp14:editId="718F3B17">
                  <wp:simplePos x="0" y="0"/>
                  <wp:positionH relativeFrom="column">
                    <wp:align>center</wp:align>
                  </wp:positionH>
                  <wp:positionV relativeFrom="paragraph">
                    <wp:posOffset>635</wp:posOffset>
                  </wp:positionV>
                  <wp:extent cx="5588000" cy="1825625"/>
                  <wp:effectExtent l="0" t="0" r="0" b="0"/>
                  <wp:wrapSquare wrapText="largest"/>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6"/>
                          <a:stretch>
                            <a:fillRect/>
                          </a:stretch>
                        </pic:blipFill>
                        <pic:spPr bwMode="auto">
                          <a:xfrm>
                            <a:off x="0" y="0"/>
                            <a:ext cx="5588000" cy="1825625"/>
                          </a:xfrm>
                          <a:prstGeom prst="rect">
                            <a:avLst/>
                          </a:prstGeom>
                        </pic:spPr>
                      </pic:pic>
                    </a:graphicData>
                  </a:graphic>
                </wp:anchor>
              </w:drawing>
            </w:r>
          </w:p>
          <w:p w14:paraId="08BCA6D0" w14:textId="77777777" w:rsidR="00C34BCE" w:rsidRDefault="00C34BCE" w:rsidP="00630C82">
            <w:pPr>
              <w:spacing w:line="276" w:lineRule="auto"/>
              <w:jc w:val="center"/>
              <w:rPr>
                <w:b/>
              </w:rPr>
            </w:pPr>
          </w:p>
        </w:tc>
      </w:tr>
      <w:tr w:rsidR="00C34BCE" w14:paraId="37C1ED6F" w14:textId="77777777" w:rsidTr="00630C82">
        <w:tc>
          <w:tcPr>
            <w:tcW w:w="9016" w:type="dxa"/>
            <w:gridSpan w:val="3"/>
            <w:shd w:val="clear" w:color="auto" w:fill="F2F2F2" w:themeFill="background1" w:themeFillShade="F2"/>
          </w:tcPr>
          <w:p w14:paraId="7B70F708" w14:textId="394A47DF" w:rsidR="00C34BCE" w:rsidRDefault="00C34BCE" w:rsidP="00630C82">
            <w:pPr>
              <w:spacing w:line="276" w:lineRule="auto"/>
              <w:rPr>
                <w:b/>
              </w:rPr>
            </w:pPr>
            <w:r>
              <w:rPr>
                <w:rFonts w:eastAsia="Calibri"/>
                <w:b/>
                <w:kern w:val="0"/>
                <w:sz w:val="22"/>
                <w:szCs w:val="22"/>
                <w:lang w:eastAsia="en-US" w:bidi="ar-SA"/>
              </w:rPr>
              <w:lastRenderedPageBreak/>
              <w:t xml:space="preserve">Methodology </w:t>
            </w:r>
          </w:p>
        </w:tc>
      </w:tr>
      <w:tr w:rsidR="00C34BCE" w14:paraId="0766B38A" w14:textId="77777777" w:rsidTr="00630C82">
        <w:tc>
          <w:tcPr>
            <w:tcW w:w="9016" w:type="dxa"/>
            <w:gridSpan w:val="3"/>
          </w:tcPr>
          <w:p w14:paraId="25BE9B29" w14:textId="77777777" w:rsidR="00C34BCE" w:rsidRDefault="00C34BCE" w:rsidP="00630C82">
            <w:pPr>
              <w:rPr>
                <w:b/>
              </w:rPr>
            </w:pPr>
            <w:r>
              <w:rPr>
                <w:kern w:val="0"/>
                <w:sz w:val="22"/>
                <w:szCs w:val="22"/>
                <w:lang w:bidi="ar-SA"/>
              </w:rPr>
              <w:t>The work of this PhD study will be conducted through three phases:</w:t>
            </w:r>
          </w:p>
          <w:p w14:paraId="1C533396" w14:textId="77777777" w:rsidR="00C34BCE" w:rsidRDefault="00C34BCE" w:rsidP="00630C82">
            <w:pPr>
              <w:rPr>
                <w:b/>
              </w:rPr>
            </w:pPr>
          </w:p>
          <w:p w14:paraId="3EEEC41B" w14:textId="77777777" w:rsidR="00C34BCE" w:rsidRDefault="00C34BCE" w:rsidP="00630C82">
            <w:pPr>
              <w:rPr>
                <w:b/>
              </w:rPr>
            </w:pPr>
            <w:r>
              <w:rPr>
                <w:kern w:val="0"/>
                <w:sz w:val="22"/>
                <w:szCs w:val="22"/>
                <w:lang w:bidi="ar-SA"/>
              </w:rPr>
              <w:t>First phase: Understand the existing work, physics and models that have been developed during the previous work, and prepare and identify the different lattice structure mechanical and thermal properties and its mould implementation and limitations.</w:t>
            </w:r>
          </w:p>
          <w:p w14:paraId="68E605A4" w14:textId="77777777" w:rsidR="00C34BCE" w:rsidRDefault="00C34BCE" w:rsidP="00630C82">
            <w:pPr>
              <w:rPr>
                <w:b/>
              </w:rPr>
            </w:pPr>
          </w:p>
          <w:p w14:paraId="5B734981" w14:textId="77777777" w:rsidR="00C34BCE" w:rsidRDefault="00C34BCE" w:rsidP="00630C82">
            <w:pPr>
              <w:rPr>
                <w:b/>
              </w:rPr>
            </w:pPr>
            <w:r>
              <w:rPr>
                <w:kern w:val="0"/>
                <w:sz w:val="22"/>
                <w:szCs w:val="22"/>
                <w:lang w:bidi="ar-SA"/>
              </w:rPr>
              <w:t xml:space="preserve">Second Phase: Develop the current model by introducing the thermal conductivity in the </w:t>
            </w:r>
            <w:proofErr w:type="spellStart"/>
            <w:r>
              <w:rPr>
                <w:kern w:val="0"/>
                <w:sz w:val="22"/>
                <w:szCs w:val="22"/>
                <w:lang w:bidi="ar-SA"/>
              </w:rPr>
              <w:t>moule</w:t>
            </w:r>
            <w:proofErr w:type="spellEnd"/>
            <w:r>
              <w:rPr>
                <w:kern w:val="0"/>
                <w:sz w:val="22"/>
                <w:szCs w:val="22"/>
                <w:lang w:bidi="ar-SA"/>
              </w:rPr>
              <w:t xml:space="preserve"> as a new variable for the adjoint optimisation model and connect that variable with the lattice structure geometry and size. Apply the adjoint method using simple geometry (Bubbler or Corners) and validate the model results using the existing experimental facilities, shown in Figure 2. </w:t>
            </w:r>
          </w:p>
          <w:p w14:paraId="70D7CD66" w14:textId="77777777" w:rsidR="00C34BCE" w:rsidRDefault="00C34BCE" w:rsidP="00630C82">
            <w:pPr>
              <w:rPr>
                <w:b/>
              </w:rPr>
            </w:pPr>
          </w:p>
          <w:p w14:paraId="21EFC5B5" w14:textId="77777777" w:rsidR="00C34BCE" w:rsidRDefault="00C34BCE" w:rsidP="00630C82">
            <w:pPr>
              <w:rPr>
                <w:b/>
              </w:rPr>
            </w:pPr>
            <w:r>
              <w:rPr>
                <w:kern w:val="0"/>
                <w:sz w:val="22"/>
                <w:szCs w:val="22"/>
                <w:lang w:bidi="ar-SA"/>
              </w:rPr>
              <w:t>Third Phase: Apply the developed model to simulate the heat transfer and temperature distribution in an industrial mould and compare the result with the existing current CC moulds.</w:t>
            </w:r>
          </w:p>
          <w:p w14:paraId="068069C7" w14:textId="77777777" w:rsidR="00C34BCE" w:rsidRDefault="00C34BCE" w:rsidP="00630C82">
            <w:pPr>
              <w:rPr>
                <w:b/>
              </w:rPr>
            </w:pPr>
            <w:r>
              <w:rPr>
                <w:noProof/>
                <w:kern w:val="0"/>
                <w:lang w:bidi="ar-SA"/>
              </w:rPr>
              <w:drawing>
                <wp:anchor distT="0" distB="0" distL="0" distR="0" simplePos="0" relativeHeight="251660288" behindDoc="0" locked="0" layoutInCell="0" allowOverlap="1" wp14:anchorId="1EDAE010" wp14:editId="4DD27F48">
                  <wp:simplePos x="0" y="0"/>
                  <wp:positionH relativeFrom="column">
                    <wp:align>center</wp:align>
                  </wp:positionH>
                  <wp:positionV relativeFrom="paragraph">
                    <wp:posOffset>635</wp:posOffset>
                  </wp:positionV>
                  <wp:extent cx="5588000" cy="3611245"/>
                  <wp:effectExtent l="0" t="0" r="0" b="0"/>
                  <wp:wrapSquare wrapText="largest"/>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7"/>
                          <a:stretch>
                            <a:fillRect/>
                          </a:stretch>
                        </pic:blipFill>
                        <pic:spPr bwMode="auto">
                          <a:xfrm>
                            <a:off x="0" y="0"/>
                            <a:ext cx="5588000" cy="3611245"/>
                          </a:xfrm>
                          <a:prstGeom prst="rect">
                            <a:avLst/>
                          </a:prstGeom>
                        </pic:spPr>
                      </pic:pic>
                    </a:graphicData>
                  </a:graphic>
                </wp:anchor>
              </w:drawing>
            </w:r>
          </w:p>
        </w:tc>
      </w:tr>
      <w:tr w:rsidR="00C34BCE" w14:paraId="11A468AB" w14:textId="77777777" w:rsidTr="00630C82">
        <w:tc>
          <w:tcPr>
            <w:tcW w:w="1979" w:type="dxa"/>
            <w:shd w:val="clear" w:color="auto" w:fill="F2F2F2" w:themeFill="background1" w:themeFillShade="F2"/>
          </w:tcPr>
          <w:p w14:paraId="0A026A1C" w14:textId="77777777" w:rsidR="00C34BCE" w:rsidRDefault="00C34BCE" w:rsidP="00630C82">
            <w:pPr>
              <w:spacing w:line="276" w:lineRule="auto"/>
              <w:rPr>
                <w:b/>
              </w:rPr>
            </w:pPr>
            <w:r>
              <w:rPr>
                <w:rFonts w:eastAsia="Calibri"/>
                <w:b/>
                <w:kern w:val="0"/>
                <w:sz w:val="22"/>
                <w:szCs w:val="22"/>
                <w:lang w:eastAsia="en-US" w:bidi="ar-SA"/>
              </w:rPr>
              <w:t>Further Reading:</w:t>
            </w:r>
          </w:p>
          <w:p w14:paraId="19AD77C3" w14:textId="71B4189D" w:rsidR="00C34BCE" w:rsidRDefault="00C34BCE" w:rsidP="00630C82">
            <w:pPr>
              <w:spacing w:line="276" w:lineRule="auto"/>
              <w:rPr>
                <w:b/>
              </w:rPr>
            </w:pPr>
          </w:p>
        </w:tc>
        <w:tc>
          <w:tcPr>
            <w:tcW w:w="7037" w:type="dxa"/>
            <w:gridSpan w:val="2"/>
          </w:tcPr>
          <w:p w14:paraId="2ED8212C" w14:textId="77777777" w:rsidR="00C34BCE" w:rsidRDefault="00C34BCE" w:rsidP="00630C82">
            <w:pPr>
              <w:pStyle w:val="ListParagraph"/>
              <w:rPr>
                <w:b/>
                <w:bCs/>
                <w:color w:val="333333"/>
              </w:rPr>
            </w:pPr>
            <w:r>
              <w:rPr>
                <w:kern w:val="0"/>
                <w:sz w:val="22"/>
                <w:szCs w:val="22"/>
                <w:lang w:bidi="ar-SA"/>
              </w:rPr>
              <w:t xml:space="preserve">1- Feng, S.; </w:t>
            </w:r>
            <w:proofErr w:type="spellStart"/>
            <w:r>
              <w:rPr>
                <w:kern w:val="0"/>
                <w:sz w:val="22"/>
                <w:szCs w:val="22"/>
                <w:lang w:bidi="ar-SA"/>
              </w:rPr>
              <w:t>Kamat</w:t>
            </w:r>
            <w:proofErr w:type="spellEnd"/>
            <w:r>
              <w:rPr>
                <w:kern w:val="0"/>
                <w:sz w:val="22"/>
                <w:szCs w:val="22"/>
                <w:lang w:bidi="ar-SA"/>
              </w:rPr>
              <w:t xml:space="preserve">, A. M.; Pei, Y., Design and fabrication of conformal cooling channels in </w:t>
            </w:r>
            <w:proofErr w:type="spellStart"/>
            <w:r>
              <w:rPr>
                <w:kern w:val="0"/>
                <w:sz w:val="22"/>
                <w:szCs w:val="22"/>
                <w:lang w:bidi="ar-SA"/>
              </w:rPr>
              <w:t>molds</w:t>
            </w:r>
            <w:proofErr w:type="spellEnd"/>
            <w:r>
              <w:rPr>
                <w:kern w:val="0"/>
                <w:sz w:val="22"/>
                <w:szCs w:val="22"/>
                <w:lang w:bidi="ar-SA"/>
              </w:rPr>
              <w:t>: Review and progress updates. International Journal of Heat and Mass Transfer 2021, 171, 121082.</w:t>
            </w:r>
          </w:p>
          <w:p w14:paraId="347D6AB4" w14:textId="77777777" w:rsidR="00C34BCE" w:rsidRDefault="00C34BCE" w:rsidP="00630C82">
            <w:pPr>
              <w:pStyle w:val="ListParagraph"/>
              <w:rPr>
                <w:b/>
                <w:bCs/>
                <w:color w:val="333333"/>
              </w:rPr>
            </w:pPr>
          </w:p>
          <w:p w14:paraId="4A734D70" w14:textId="77777777" w:rsidR="00C34BCE" w:rsidRDefault="00C34BCE" w:rsidP="00630C82">
            <w:pPr>
              <w:pStyle w:val="ListParagraph"/>
              <w:rPr>
                <w:b/>
                <w:bCs/>
                <w:color w:val="333333"/>
              </w:rPr>
            </w:pPr>
            <w:r>
              <w:rPr>
                <w:kern w:val="0"/>
                <w:sz w:val="22"/>
                <w:szCs w:val="22"/>
                <w:lang w:bidi="ar-SA"/>
              </w:rPr>
              <w:t xml:space="preserve">2- Zeng, T., Abo-Serie, E., Henry, M., &amp; </w:t>
            </w:r>
            <w:proofErr w:type="spellStart"/>
            <w:r>
              <w:rPr>
                <w:kern w:val="0"/>
                <w:sz w:val="22"/>
                <w:szCs w:val="22"/>
                <w:lang w:bidi="ar-SA"/>
              </w:rPr>
              <w:t>Jewkes</w:t>
            </w:r>
            <w:proofErr w:type="spellEnd"/>
            <w:r>
              <w:rPr>
                <w:kern w:val="0"/>
                <w:sz w:val="22"/>
                <w:szCs w:val="22"/>
                <w:lang w:bidi="ar-SA"/>
              </w:rPr>
              <w:t>, J., Cooling channel free surface optimisation for additively manufactured casting tools. The International Journal of Advanced Manufacturing Technology 2023, (127(3)), 1293-1315.</w:t>
            </w:r>
          </w:p>
          <w:p w14:paraId="446E978E" w14:textId="77777777" w:rsidR="00C34BCE" w:rsidRDefault="00C34BCE" w:rsidP="00630C82">
            <w:pPr>
              <w:pStyle w:val="ListParagraph"/>
              <w:rPr>
                <w:b/>
                <w:bCs/>
                <w:color w:val="333333"/>
              </w:rPr>
            </w:pPr>
          </w:p>
          <w:p w14:paraId="61B90291" w14:textId="77777777" w:rsidR="00C34BCE" w:rsidRDefault="00C34BCE" w:rsidP="00630C82">
            <w:pPr>
              <w:pStyle w:val="ListParagraph"/>
              <w:rPr>
                <w:b/>
                <w:bCs/>
                <w:color w:val="333333"/>
              </w:rPr>
            </w:pPr>
            <w:r>
              <w:rPr>
                <w:kern w:val="0"/>
                <w:sz w:val="22"/>
                <w:szCs w:val="22"/>
                <w:lang w:bidi="ar-SA"/>
              </w:rPr>
              <w:t xml:space="preserve">3- Abo-Serie, E.; </w:t>
            </w:r>
            <w:proofErr w:type="spellStart"/>
            <w:r>
              <w:rPr>
                <w:kern w:val="0"/>
                <w:sz w:val="22"/>
                <w:szCs w:val="22"/>
                <w:lang w:bidi="ar-SA"/>
              </w:rPr>
              <w:t>Koranteng-Agyarko</w:t>
            </w:r>
            <w:proofErr w:type="spellEnd"/>
            <w:r>
              <w:rPr>
                <w:kern w:val="0"/>
                <w:sz w:val="22"/>
                <w:szCs w:val="22"/>
                <w:lang w:bidi="ar-SA"/>
              </w:rPr>
              <w:t>, S. K., Lattice Structure for Improving Cooling Uniformity in HPDC Mould Corners. Applied Sciences 2025, 15, (1), 427.</w:t>
            </w:r>
          </w:p>
        </w:tc>
      </w:tr>
    </w:tbl>
    <w:p w14:paraId="292F7448" w14:textId="6B50227D" w:rsidR="001F13FA" w:rsidRPr="001F13FA" w:rsidRDefault="001F13FA" w:rsidP="00C34BCE">
      <w:pPr>
        <w:spacing w:line="276" w:lineRule="auto"/>
        <w:rPr>
          <w:rFonts w:eastAsia="Calibri"/>
        </w:rPr>
      </w:pPr>
    </w:p>
    <w:sectPr w:rsidR="001F13FA" w:rsidRPr="001F13FA" w:rsidSect="006C0673">
      <w:pgSz w:w="11906" w:h="16838"/>
      <w:pgMar w:top="1361" w:right="1531" w:bottom="119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CJK SC">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4EAA"/>
    <w:multiLevelType w:val="multilevel"/>
    <w:tmpl w:val="471C6D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1834666"/>
    <w:multiLevelType w:val="multilevel"/>
    <w:tmpl w:val="15F84A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8C800AB"/>
    <w:multiLevelType w:val="multilevel"/>
    <w:tmpl w:val="864440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1EC6079"/>
    <w:multiLevelType w:val="multilevel"/>
    <w:tmpl w:val="BF06BE1A"/>
    <w:lvl w:ilvl="0">
      <w:start w:val="1"/>
      <w:numFmt w:val="decimal"/>
      <w:lvlText w:val="%1."/>
      <w:lvlJc w:val="left"/>
      <w:pPr>
        <w:tabs>
          <w:tab w:val="num" w:pos="0"/>
        </w:tabs>
        <w:ind w:left="360" w:hanging="360"/>
      </w:pPr>
      <w:rPr>
        <w:i w:val="0"/>
        <w:i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73"/>
    <w:rsid w:val="001F13FA"/>
    <w:rsid w:val="006C0673"/>
    <w:rsid w:val="008D3692"/>
    <w:rsid w:val="00A3632B"/>
    <w:rsid w:val="00AD0B73"/>
    <w:rsid w:val="00C34BCE"/>
    <w:rsid w:val="00F1456A"/>
    <w:rsid w:val="00F4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967DDF"/>
  <w15:chartTrackingRefBased/>
  <w15:docId w15:val="{51CCE7A1-1C2B-443A-9706-E70A3215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73"/>
    <w:pPr>
      <w:suppressAutoHyphens/>
      <w:spacing w:after="0" w:line="240" w:lineRule="auto"/>
    </w:pPr>
    <w:rPr>
      <w:rFonts w:ascii="Calibri" w:eastAsia="Noto Serif CJK SC" w:hAnsi="Calibri" w:cs="FreeSans"/>
      <w:kern w:val="2"/>
      <w:sz w:val="24"/>
      <w:szCs w:val="24"/>
      <w:lang w:eastAsia="zh-CN" w:bidi="hi-IN"/>
    </w:rPr>
  </w:style>
  <w:style w:type="paragraph" w:styleId="Heading4">
    <w:name w:val="heading 4"/>
    <w:basedOn w:val="Normal"/>
    <w:next w:val="Normal"/>
    <w:link w:val="Heading4Char"/>
    <w:uiPriority w:val="9"/>
    <w:unhideWhenUsed/>
    <w:qFormat/>
    <w:rsid w:val="006C067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0B73"/>
    <w:rPr>
      <w:color w:val="000080"/>
      <w:u w:val="single"/>
    </w:rPr>
  </w:style>
  <w:style w:type="paragraph" w:styleId="ListParagraph">
    <w:name w:val="List Paragraph"/>
    <w:basedOn w:val="Normal"/>
    <w:qFormat/>
    <w:rsid w:val="00F1456A"/>
    <w:pPr>
      <w:spacing w:after="160"/>
      <w:ind w:left="720"/>
      <w:contextualSpacing/>
    </w:pPr>
  </w:style>
  <w:style w:type="character" w:customStyle="1" w:styleId="Heading4Char">
    <w:name w:val="Heading 4 Char"/>
    <w:basedOn w:val="DefaultParagraphFont"/>
    <w:link w:val="Heading4"/>
    <w:uiPriority w:val="9"/>
    <w:rsid w:val="006C0673"/>
    <w:rPr>
      <w:rFonts w:asciiTheme="majorHAnsi" w:eastAsiaTheme="majorEastAsia" w:hAnsiTheme="majorHAnsi" w:cstheme="majorBidi"/>
      <w:i/>
      <w:iCs/>
      <w:color w:val="2F5496" w:themeColor="accent1" w:themeShade="BF"/>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aboserie@leicester.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Karen L.</dc:creator>
  <cp:keywords/>
  <dc:description/>
  <cp:lastModifiedBy>White, Karen L.</cp:lastModifiedBy>
  <cp:revision>2</cp:revision>
  <dcterms:created xsi:type="dcterms:W3CDTF">2025-08-06T10:34:00Z</dcterms:created>
  <dcterms:modified xsi:type="dcterms:W3CDTF">2025-08-06T10:34:00Z</dcterms:modified>
</cp:coreProperties>
</file>