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7E74" w14:textId="329DAD9F" w:rsidR="00AD0B73" w:rsidRPr="00AD0B73" w:rsidRDefault="00AD0B73" w:rsidP="00AD0B73">
      <w:pPr>
        <w:rPr>
          <w:b/>
          <w:bCs/>
          <w:sz w:val="28"/>
          <w:szCs w:val="28"/>
        </w:rPr>
      </w:pPr>
      <w:r w:rsidRPr="00AD0B73">
        <w:rPr>
          <w:b/>
          <w:bCs/>
          <w:sz w:val="28"/>
          <w:szCs w:val="28"/>
        </w:rPr>
        <w:t>University of Leicester</w:t>
      </w:r>
    </w:p>
    <w:p w14:paraId="02E89429" w14:textId="561FC74A" w:rsidR="00AD0B73" w:rsidRPr="00AD0B73" w:rsidRDefault="00AD0B73" w:rsidP="00AD0B73">
      <w:pPr>
        <w:rPr>
          <w:b/>
          <w:bCs/>
          <w:sz w:val="28"/>
          <w:szCs w:val="28"/>
        </w:rPr>
      </w:pPr>
      <w:r w:rsidRPr="00AD0B73">
        <w:rPr>
          <w:b/>
          <w:bCs/>
          <w:sz w:val="28"/>
          <w:szCs w:val="28"/>
        </w:rPr>
        <w:t xml:space="preserve">School of </w:t>
      </w:r>
      <w:proofErr w:type="gramStart"/>
      <w:r w:rsidRPr="00AD0B73">
        <w:rPr>
          <w:b/>
          <w:bCs/>
          <w:sz w:val="28"/>
          <w:szCs w:val="28"/>
        </w:rPr>
        <w:t>Engineering  -</w:t>
      </w:r>
      <w:proofErr w:type="gramEnd"/>
      <w:r w:rsidRPr="00AD0B73">
        <w:rPr>
          <w:b/>
          <w:bCs/>
          <w:sz w:val="28"/>
          <w:szCs w:val="28"/>
        </w:rPr>
        <w:t xml:space="preserve"> Les Booth Studentship 2025</w:t>
      </w:r>
    </w:p>
    <w:p w14:paraId="00C86020" w14:textId="47C4E59E" w:rsidR="00AD0B73" w:rsidRDefault="00AD0B73" w:rsidP="00AD0B73">
      <w:pPr>
        <w:rPr>
          <w:b/>
          <w:bCs/>
        </w:rPr>
      </w:pPr>
    </w:p>
    <w:p w14:paraId="43C90952" w14:textId="4DDC8BBE" w:rsidR="006C0673" w:rsidRDefault="00F46F90" w:rsidP="006C0673">
      <w:pPr>
        <w:spacing w:line="276" w:lineRule="auto"/>
        <w:rPr>
          <w:rFonts w:eastAsia="Calibri"/>
          <w:b/>
          <w:bCs/>
          <w:kern w:val="0"/>
          <w:sz w:val="22"/>
          <w:szCs w:val="22"/>
          <w:lang w:eastAsia="en-US" w:bidi="ar-SA"/>
        </w:rPr>
      </w:pPr>
      <w:r w:rsidRPr="001F13FA">
        <w:rPr>
          <w:rFonts w:eastAsia="Calibri"/>
          <w:b/>
          <w:bCs/>
          <w:kern w:val="0"/>
          <w:lang w:eastAsia="en-US" w:bidi="ar-SA"/>
        </w:rPr>
        <w:t>Project</w:t>
      </w:r>
      <w:r>
        <w:rPr>
          <w:rFonts w:eastAsia="Calibri"/>
          <w:b/>
          <w:bCs/>
          <w:kern w:val="0"/>
          <w:sz w:val="22"/>
          <w:szCs w:val="22"/>
          <w:lang w:eastAsia="en-US" w:bidi="ar-SA"/>
        </w:rPr>
        <w:t xml:space="preserve"> </w:t>
      </w:r>
      <w:r w:rsidR="006C0673">
        <w:rPr>
          <w:b/>
          <w:bCs/>
          <w:kern w:val="0"/>
          <w:lang w:bidi="ar-SA"/>
        </w:rPr>
        <w:t xml:space="preserve">5. </w:t>
      </w:r>
      <w:r w:rsidR="006C0673">
        <w:rPr>
          <w:rFonts w:eastAsia="Calibri"/>
          <w:b/>
          <w:bCs/>
          <w:kern w:val="0"/>
          <w:sz w:val="22"/>
          <w:szCs w:val="22"/>
          <w:lang w:eastAsia="en-US" w:bidi="ar-SA"/>
        </w:rPr>
        <w:t xml:space="preserve">AI-Driven Design of </w:t>
      </w:r>
      <w:proofErr w:type="spellStart"/>
      <w:r w:rsidR="006C0673">
        <w:rPr>
          <w:rFonts w:eastAsia="Calibri"/>
          <w:b/>
          <w:bCs/>
          <w:kern w:val="0"/>
          <w:sz w:val="22"/>
          <w:szCs w:val="22"/>
          <w:lang w:eastAsia="en-US" w:bidi="ar-SA"/>
        </w:rPr>
        <w:t>Metasurfaces</w:t>
      </w:r>
      <w:proofErr w:type="spellEnd"/>
      <w:r w:rsidR="006C0673">
        <w:rPr>
          <w:rFonts w:eastAsia="Calibri"/>
          <w:b/>
          <w:bCs/>
          <w:kern w:val="0"/>
          <w:sz w:val="22"/>
          <w:szCs w:val="22"/>
          <w:lang w:eastAsia="en-US" w:bidi="ar-SA"/>
        </w:rPr>
        <w:t xml:space="preserve"> for Enhanced Radiative Heat Transfer in High-Efficiency Solar-Thermal Photovoltaic Systems</w:t>
      </w:r>
    </w:p>
    <w:p w14:paraId="20E9C8E0" w14:textId="77777777" w:rsidR="006C0673" w:rsidRDefault="006C0673" w:rsidP="006C0673">
      <w:pPr>
        <w:spacing w:line="276" w:lineRule="auto"/>
        <w:rPr>
          <w:rFonts w:eastAsia="Calibri"/>
        </w:rPr>
      </w:pPr>
    </w:p>
    <w:p w14:paraId="12776256" w14:textId="64E47618" w:rsidR="006C0673" w:rsidRDefault="006C0673" w:rsidP="006C0673">
      <w:pPr>
        <w:spacing w:line="276" w:lineRule="auto"/>
        <w:rPr>
          <w:rStyle w:val="Hyperlink"/>
          <w:rFonts w:eastAsia="Calibri"/>
          <w:kern w:val="0"/>
          <w:sz w:val="22"/>
          <w:szCs w:val="22"/>
          <w:lang w:eastAsia="en-US" w:bidi="ar-SA"/>
        </w:rPr>
      </w:pPr>
      <w:r>
        <w:rPr>
          <w:rFonts w:eastAsia="Calibri"/>
          <w:kern w:val="0"/>
          <w:sz w:val="22"/>
          <w:szCs w:val="22"/>
          <w:lang w:eastAsia="en-US" w:bidi="ar-SA"/>
        </w:rPr>
        <w:t xml:space="preserve">Dr Muhammad Zubair - </w:t>
      </w:r>
      <w:hyperlink>
        <w:r>
          <w:rPr>
            <w:rStyle w:val="Hyperlink"/>
            <w:rFonts w:eastAsia="Calibri"/>
            <w:kern w:val="0"/>
            <w:sz w:val="22"/>
            <w:szCs w:val="22"/>
            <w:lang w:eastAsia="en-US" w:bidi="ar-SA"/>
          </w:rPr>
          <w:t>Muhammad.Zubair@leicester.ac.uk</w:t>
        </w:r>
      </w:hyperlink>
    </w:p>
    <w:p w14:paraId="2B9352CF" w14:textId="77777777" w:rsidR="006C0673" w:rsidRDefault="006C0673" w:rsidP="006C0673">
      <w:pPr>
        <w:spacing w:line="276" w:lineRule="auto"/>
        <w:rPr>
          <w:rFonts w:eastAsia="Calibri"/>
        </w:rPr>
      </w:pPr>
    </w:p>
    <w:tbl>
      <w:tblPr>
        <w:tblW w:w="9016" w:type="dxa"/>
        <w:tblLayout w:type="fixed"/>
        <w:tblLook w:val="04A0" w:firstRow="1" w:lastRow="0" w:firstColumn="1" w:lastColumn="0" w:noHBand="0" w:noVBand="1"/>
      </w:tblPr>
      <w:tblGrid>
        <w:gridCol w:w="2694"/>
        <w:gridCol w:w="450"/>
        <w:gridCol w:w="5872"/>
      </w:tblGrid>
      <w:tr w:rsidR="006C0673" w14:paraId="2FE8BDB7" w14:textId="77777777" w:rsidTr="00630C82">
        <w:tc>
          <w:tcPr>
            <w:tcW w:w="2694" w:type="dxa"/>
            <w:shd w:val="clear" w:color="auto" w:fill="F2F2F2" w:themeFill="background1" w:themeFillShade="F2"/>
          </w:tcPr>
          <w:p w14:paraId="09044507" w14:textId="77777777" w:rsidR="006C0673" w:rsidRDefault="006C0673" w:rsidP="00630C82">
            <w:pPr>
              <w:spacing w:line="276" w:lineRule="auto"/>
              <w:rPr>
                <w:b/>
              </w:rPr>
            </w:pPr>
            <w:r>
              <w:rPr>
                <w:rFonts w:eastAsia="Calibri"/>
                <w:b/>
                <w:kern w:val="0"/>
                <w:sz w:val="22"/>
                <w:szCs w:val="22"/>
                <w:lang w:eastAsia="en-US" w:bidi="ar-SA"/>
              </w:rPr>
              <w:t>Project Title</w:t>
            </w:r>
          </w:p>
        </w:tc>
        <w:tc>
          <w:tcPr>
            <w:tcW w:w="6322" w:type="dxa"/>
            <w:gridSpan w:val="2"/>
          </w:tcPr>
          <w:p w14:paraId="013BD985" w14:textId="77777777" w:rsidR="006C0673" w:rsidRDefault="006C0673" w:rsidP="00630C82">
            <w:pPr>
              <w:spacing w:line="276" w:lineRule="auto"/>
              <w:jc w:val="both"/>
              <w:rPr>
                <w:rFonts w:eastAsia="Calibri"/>
                <w:kern w:val="0"/>
                <w:sz w:val="22"/>
                <w:szCs w:val="22"/>
                <w:lang w:eastAsia="en-US" w:bidi="ar-SA"/>
              </w:rPr>
            </w:pPr>
            <w:r>
              <w:rPr>
                <w:rFonts w:eastAsia="Calibri"/>
                <w:kern w:val="0"/>
                <w:sz w:val="22"/>
                <w:szCs w:val="22"/>
                <w:lang w:eastAsia="en-US" w:bidi="ar-SA"/>
              </w:rPr>
              <w:t xml:space="preserve">AI-Driven Design of </w:t>
            </w:r>
            <w:proofErr w:type="spellStart"/>
            <w:r>
              <w:rPr>
                <w:rFonts w:eastAsia="Calibri"/>
                <w:kern w:val="0"/>
                <w:sz w:val="22"/>
                <w:szCs w:val="22"/>
                <w:lang w:eastAsia="en-US" w:bidi="ar-SA"/>
              </w:rPr>
              <w:t>Metasurfaces</w:t>
            </w:r>
            <w:proofErr w:type="spellEnd"/>
            <w:r>
              <w:rPr>
                <w:rFonts w:eastAsia="Calibri"/>
                <w:kern w:val="0"/>
                <w:sz w:val="22"/>
                <w:szCs w:val="22"/>
                <w:lang w:eastAsia="en-US" w:bidi="ar-SA"/>
              </w:rPr>
              <w:t xml:space="preserve"> for Enhanced Radiative Heat Transfer in High-Efficiency Solar-Thermal Photovoltaic Systems</w:t>
            </w:r>
          </w:p>
          <w:p w14:paraId="03D8D179" w14:textId="43CBEC7A" w:rsidR="006C0673" w:rsidRDefault="006C0673" w:rsidP="00630C82">
            <w:pPr>
              <w:spacing w:line="276" w:lineRule="auto"/>
              <w:jc w:val="both"/>
              <w:rPr>
                <w:rFonts w:eastAsia="Calibri"/>
              </w:rPr>
            </w:pPr>
          </w:p>
        </w:tc>
      </w:tr>
      <w:tr w:rsidR="006C0673" w14:paraId="2F60B413" w14:textId="77777777" w:rsidTr="00630C82">
        <w:tc>
          <w:tcPr>
            <w:tcW w:w="2694" w:type="dxa"/>
            <w:vMerge w:val="restart"/>
            <w:shd w:val="clear" w:color="auto" w:fill="F2F2F2" w:themeFill="background1" w:themeFillShade="F2"/>
          </w:tcPr>
          <w:p w14:paraId="0EC2D626" w14:textId="77777777" w:rsidR="006C0673" w:rsidRDefault="006C0673" w:rsidP="00630C82">
            <w:pPr>
              <w:spacing w:line="276" w:lineRule="auto"/>
              <w:rPr>
                <w:b/>
              </w:rPr>
            </w:pPr>
            <w:r>
              <w:rPr>
                <w:rFonts w:eastAsia="Calibri"/>
                <w:b/>
                <w:kern w:val="0"/>
                <w:sz w:val="22"/>
                <w:szCs w:val="22"/>
                <w:lang w:eastAsia="en-US" w:bidi="ar-SA"/>
              </w:rPr>
              <w:t>Project Highlights:</w:t>
            </w:r>
          </w:p>
        </w:tc>
        <w:tc>
          <w:tcPr>
            <w:tcW w:w="450" w:type="dxa"/>
            <w:shd w:val="clear" w:color="auto" w:fill="F2F2F2" w:themeFill="background1" w:themeFillShade="F2"/>
          </w:tcPr>
          <w:p w14:paraId="639E19EA" w14:textId="77777777" w:rsidR="006C0673" w:rsidRDefault="006C0673" w:rsidP="00630C82">
            <w:pPr>
              <w:spacing w:line="276" w:lineRule="auto"/>
              <w:rPr>
                <w:rFonts w:eastAsia="Calibri"/>
              </w:rPr>
            </w:pPr>
            <w:r>
              <w:rPr>
                <w:rFonts w:eastAsia="Calibri"/>
                <w:kern w:val="0"/>
                <w:sz w:val="22"/>
                <w:szCs w:val="22"/>
                <w:lang w:eastAsia="en-US" w:bidi="ar-SA"/>
              </w:rPr>
              <w:t>1.</w:t>
            </w:r>
          </w:p>
        </w:tc>
        <w:tc>
          <w:tcPr>
            <w:tcW w:w="5872" w:type="dxa"/>
          </w:tcPr>
          <w:p w14:paraId="435502FE" w14:textId="77777777" w:rsidR="006C0673" w:rsidRDefault="006C0673" w:rsidP="00630C82">
            <w:pPr>
              <w:spacing w:line="276" w:lineRule="auto"/>
              <w:jc w:val="both"/>
              <w:rPr>
                <w:rFonts w:eastAsia="Calibri"/>
                <w:kern w:val="0"/>
                <w:sz w:val="22"/>
                <w:szCs w:val="22"/>
                <w:lang w:eastAsia="en-US" w:bidi="ar-SA"/>
              </w:rPr>
            </w:pPr>
            <w:r>
              <w:rPr>
                <w:rFonts w:eastAsia="Calibri"/>
                <w:kern w:val="0"/>
                <w:sz w:val="22"/>
                <w:szCs w:val="22"/>
                <w:lang w:eastAsia="en-US" w:bidi="ar-SA"/>
              </w:rPr>
              <w:t xml:space="preserve">AI-driven inverse design tools for precise control of radiative heat transfer in solar-thermal systems will be delivered through optimization of </w:t>
            </w:r>
            <w:proofErr w:type="spellStart"/>
            <w:r>
              <w:rPr>
                <w:rFonts w:eastAsia="Calibri"/>
                <w:kern w:val="0"/>
                <w:sz w:val="22"/>
                <w:szCs w:val="22"/>
                <w:lang w:eastAsia="en-US" w:bidi="ar-SA"/>
              </w:rPr>
              <w:t>metasurface</w:t>
            </w:r>
            <w:proofErr w:type="spellEnd"/>
            <w:r>
              <w:rPr>
                <w:rFonts w:eastAsia="Calibri"/>
                <w:kern w:val="0"/>
                <w:sz w:val="22"/>
                <w:szCs w:val="22"/>
                <w:lang w:eastAsia="en-US" w:bidi="ar-SA"/>
              </w:rPr>
              <w:t xml:space="preserve"> geometries.</w:t>
            </w:r>
          </w:p>
        </w:tc>
      </w:tr>
      <w:tr w:rsidR="006C0673" w14:paraId="7E3526F7" w14:textId="77777777" w:rsidTr="00630C82">
        <w:tc>
          <w:tcPr>
            <w:tcW w:w="2694" w:type="dxa"/>
            <w:vMerge/>
            <w:shd w:val="clear" w:color="auto" w:fill="F2F2F2" w:themeFill="background1" w:themeFillShade="F2"/>
          </w:tcPr>
          <w:p w14:paraId="2BE902AA" w14:textId="77777777" w:rsidR="006C0673" w:rsidRDefault="006C0673" w:rsidP="00630C82">
            <w:pPr>
              <w:spacing w:line="276" w:lineRule="auto"/>
              <w:rPr>
                <w:b/>
              </w:rPr>
            </w:pPr>
          </w:p>
        </w:tc>
        <w:tc>
          <w:tcPr>
            <w:tcW w:w="450" w:type="dxa"/>
            <w:shd w:val="clear" w:color="auto" w:fill="F2F2F2" w:themeFill="background1" w:themeFillShade="F2"/>
          </w:tcPr>
          <w:p w14:paraId="2517EB5B" w14:textId="77777777" w:rsidR="006C0673" w:rsidRDefault="006C0673" w:rsidP="00630C82">
            <w:pPr>
              <w:spacing w:line="276" w:lineRule="auto"/>
              <w:rPr>
                <w:rFonts w:eastAsia="Calibri"/>
              </w:rPr>
            </w:pPr>
            <w:r>
              <w:rPr>
                <w:rFonts w:eastAsia="Calibri"/>
                <w:kern w:val="0"/>
                <w:sz w:val="22"/>
                <w:szCs w:val="22"/>
                <w:lang w:eastAsia="en-US" w:bidi="ar-SA"/>
              </w:rPr>
              <w:t>2.</w:t>
            </w:r>
          </w:p>
        </w:tc>
        <w:tc>
          <w:tcPr>
            <w:tcW w:w="5872" w:type="dxa"/>
          </w:tcPr>
          <w:p w14:paraId="21ACD35C" w14:textId="77777777" w:rsidR="006C0673" w:rsidRDefault="006C0673" w:rsidP="00630C82">
            <w:pPr>
              <w:spacing w:line="276" w:lineRule="auto"/>
              <w:jc w:val="both"/>
              <w:rPr>
                <w:rFonts w:eastAsia="Calibri"/>
                <w:kern w:val="0"/>
                <w:sz w:val="22"/>
                <w:szCs w:val="22"/>
                <w:lang w:eastAsia="en-US" w:bidi="ar-SA"/>
              </w:rPr>
            </w:pPr>
            <w:r>
              <w:rPr>
                <w:rFonts w:eastAsia="Calibri"/>
                <w:kern w:val="0"/>
                <w:sz w:val="22"/>
                <w:szCs w:val="22"/>
                <w:lang w:eastAsia="en-US" w:bidi="ar-SA"/>
              </w:rPr>
              <w:t xml:space="preserve">Functional </w:t>
            </w:r>
            <w:proofErr w:type="spellStart"/>
            <w:r>
              <w:rPr>
                <w:rFonts w:eastAsia="Calibri"/>
                <w:kern w:val="0"/>
                <w:sz w:val="22"/>
                <w:szCs w:val="22"/>
                <w:lang w:eastAsia="en-US" w:bidi="ar-SA"/>
              </w:rPr>
              <w:t>metasurfaces</w:t>
            </w:r>
            <w:proofErr w:type="spellEnd"/>
            <w:r>
              <w:rPr>
                <w:rFonts w:eastAsia="Calibri"/>
                <w:kern w:val="0"/>
                <w:sz w:val="22"/>
                <w:szCs w:val="22"/>
                <w:lang w:eastAsia="en-US" w:bidi="ar-SA"/>
              </w:rPr>
              <w:t xml:space="preserve"> for absorber–emitter pairs enabling selective spectral management and enhanced radiative heat exchange will be targeted for improved efficiency.</w:t>
            </w:r>
          </w:p>
        </w:tc>
      </w:tr>
      <w:tr w:rsidR="006C0673" w14:paraId="08F10F7F" w14:textId="77777777" w:rsidTr="00630C82">
        <w:tc>
          <w:tcPr>
            <w:tcW w:w="2694" w:type="dxa"/>
            <w:vMerge/>
            <w:shd w:val="clear" w:color="auto" w:fill="F2F2F2" w:themeFill="background1" w:themeFillShade="F2"/>
          </w:tcPr>
          <w:p w14:paraId="5824DAEC" w14:textId="77777777" w:rsidR="006C0673" w:rsidRDefault="006C0673" w:rsidP="00630C82">
            <w:pPr>
              <w:spacing w:line="276" w:lineRule="auto"/>
              <w:rPr>
                <w:b/>
              </w:rPr>
            </w:pPr>
          </w:p>
        </w:tc>
        <w:tc>
          <w:tcPr>
            <w:tcW w:w="450" w:type="dxa"/>
            <w:shd w:val="clear" w:color="auto" w:fill="F2F2F2" w:themeFill="background1" w:themeFillShade="F2"/>
          </w:tcPr>
          <w:p w14:paraId="18EF800E" w14:textId="77777777" w:rsidR="006C0673" w:rsidRDefault="006C0673" w:rsidP="00630C82">
            <w:pPr>
              <w:spacing w:line="276" w:lineRule="auto"/>
              <w:rPr>
                <w:rFonts w:eastAsia="Calibri"/>
              </w:rPr>
            </w:pPr>
            <w:r>
              <w:rPr>
                <w:rFonts w:eastAsia="Calibri"/>
                <w:kern w:val="0"/>
                <w:sz w:val="22"/>
                <w:szCs w:val="22"/>
                <w:lang w:eastAsia="en-US" w:bidi="ar-SA"/>
              </w:rPr>
              <w:t>3.</w:t>
            </w:r>
          </w:p>
        </w:tc>
        <w:tc>
          <w:tcPr>
            <w:tcW w:w="5872" w:type="dxa"/>
          </w:tcPr>
          <w:p w14:paraId="37105747" w14:textId="687E92BB" w:rsidR="006C0673" w:rsidRDefault="006C0673" w:rsidP="00630C82">
            <w:pPr>
              <w:spacing w:line="276" w:lineRule="auto"/>
              <w:jc w:val="both"/>
              <w:rPr>
                <w:rFonts w:eastAsia="Calibri"/>
                <w:kern w:val="0"/>
                <w:sz w:val="22"/>
                <w:szCs w:val="22"/>
                <w:lang w:eastAsia="en-US" w:bidi="ar-SA"/>
              </w:rPr>
            </w:pPr>
            <w:r>
              <w:rPr>
                <w:rFonts w:eastAsia="Calibri"/>
                <w:kern w:val="0"/>
                <w:sz w:val="22"/>
                <w:szCs w:val="22"/>
                <w:lang w:eastAsia="en-US" w:bidi="ar-SA"/>
              </w:rPr>
              <w:t xml:space="preserve">A scalable simulation-to-prototype workflow for </w:t>
            </w:r>
            <w:proofErr w:type="spellStart"/>
            <w:r>
              <w:rPr>
                <w:rFonts w:eastAsia="Calibri"/>
                <w:kern w:val="0"/>
                <w:sz w:val="22"/>
                <w:szCs w:val="22"/>
                <w:lang w:eastAsia="en-US" w:bidi="ar-SA"/>
              </w:rPr>
              <w:t>metasurface</w:t>
            </w:r>
            <w:proofErr w:type="spellEnd"/>
            <w:r>
              <w:rPr>
                <w:rFonts w:eastAsia="Calibri"/>
                <w:kern w:val="0"/>
                <w:sz w:val="22"/>
                <w:szCs w:val="22"/>
                <w:lang w:eastAsia="en-US" w:bidi="ar-SA"/>
              </w:rPr>
              <w:t xml:space="preserve">-enhanced solar-thermal photovoltaic systems will be </w:t>
            </w:r>
            <w:proofErr w:type="gramStart"/>
            <w:r>
              <w:rPr>
                <w:rFonts w:eastAsia="Calibri"/>
                <w:kern w:val="0"/>
                <w:sz w:val="22"/>
                <w:szCs w:val="22"/>
                <w:lang w:eastAsia="en-US" w:bidi="ar-SA"/>
              </w:rPr>
              <w:t>delivered,  advancing</w:t>
            </w:r>
            <w:proofErr w:type="gramEnd"/>
            <w:r>
              <w:rPr>
                <w:rFonts w:eastAsia="Calibri"/>
                <w:kern w:val="0"/>
                <w:sz w:val="22"/>
                <w:szCs w:val="22"/>
                <w:lang w:eastAsia="en-US" w:bidi="ar-SA"/>
              </w:rPr>
              <w:t xml:space="preserve"> next-generation energy solutions.</w:t>
            </w:r>
          </w:p>
        </w:tc>
      </w:tr>
      <w:tr w:rsidR="006C0673" w14:paraId="57A00768" w14:textId="77777777" w:rsidTr="00630C82">
        <w:tc>
          <w:tcPr>
            <w:tcW w:w="9016" w:type="dxa"/>
            <w:gridSpan w:val="3"/>
            <w:shd w:val="clear" w:color="auto" w:fill="F2F2F2" w:themeFill="background1" w:themeFillShade="F2"/>
          </w:tcPr>
          <w:p w14:paraId="22EC204E" w14:textId="5D383971" w:rsidR="006C0673" w:rsidRDefault="006C0673" w:rsidP="00630C82">
            <w:pPr>
              <w:spacing w:line="276" w:lineRule="auto"/>
              <w:rPr>
                <w:rFonts w:eastAsia="Calibri"/>
              </w:rPr>
            </w:pPr>
            <w:r>
              <w:rPr>
                <w:rFonts w:eastAsia="Calibri"/>
                <w:b/>
                <w:kern w:val="0"/>
                <w:sz w:val="22"/>
                <w:szCs w:val="22"/>
                <w:lang w:eastAsia="en-US" w:bidi="ar-SA"/>
              </w:rPr>
              <w:t xml:space="preserve">Project Overview </w:t>
            </w:r>
          </w:p>
        </w:tc>
      </w:tr>
      <w:tr w:rsidR="006C0673" w14:paraId="2BA87D39" w14:textId="77777777" w:rsidTr="00630C82">
        <w:tc>
          <w:tcPr>
            <w:tcW w:w="9016" w:type="dxa"/>
            <w:gridSpan w:val="3"/>
          </w:tcPr>
          <w:p w14:paraId="31490E07" w14:textId="77777777" w:rsidR="006C0673" w:rsidRDefault="006C0673" w:rsidP="00630C82">
            <w:pPr>
              <w:spacing w:after="160"/>
              <w:jc w:val="both"/>
              <w:rPr>
                <w:bCs/>
              </w:rPr>
            </w:pPr>
            <w:r>
              <w:rPr>
                <w:rFonts w:eastAsia="Calibri"/>
                <w:bCs/>
                <w:kern w:val="0"/>
                <w:sz w:val="22"/>
                <w:szCs w:val="22"/>
                <w:lang w:eastAsia="en-US" w:bidi="ar-SA"/>
              </w:rPr>
              <w:t>Solar energy holds the highest potential among renewable sources to meet global energy demands cost-effectively. However, conventional photovoltaic (PV) technologies remain constrained by the Shockley–</w:t>
            </w:r>
            <w:proofErr w:type="spellStart"/>
            <w:r>
              <w:rPr>
                <w:rFonts w:eastAsia="Calibri"/>
                <w:bCs/>
                <w:kern w:val="0"/>
                <w:sz w:val="22"/>
                <w:szCs w:val="22"/>
                <w:lang w:eastAsia="en-US" w:bidi="ar-SA"/>
              </w:rPr>
              <w:t>Queisser</w:t>
            </w:r>
            <w:proofErr w:type="spellEnd"/>
            <w:r>
              <w:rPr>
                <w:rFonts w:eastAsia="Calibri"/>
                <w:bCs/>
                <w:kern w:val="0"/>
                <w:sz w:val="22"/>
                <w:szCs w:val="22"/>
                <w:lang w:eastAsia="en-US" w:bidi="ar-SA"/>
              </w:rPr>
              <w:t xml:space="preserve"> limit due to spectral mismatch, where photon energy above or below the semiconductor bandgap leads to thermal and transmission losses. While tandem cells and III–V multijunction architectures offer improvements, they introduce significant complexity and cost. Solar thermophotovoltaic (STPV) systems offer a promising alternative, leveraging full-spectrum absorption and narrowband re-emission to PV cells, theoretically exceeding 85% efficiency under ideal conditions. Traditional STPV technologies face significant performance losses due to inefficient thermal management and limited spectral absorption, especially under low-light or fluctuating temperature conditions, common in UK environments. To realize the true potential of STPVs in practical settings, there is a critical need for material and structural innovation, especially in enhancing radiative heat transfer and thermal stability. This PhD project focuses on advancing STPV technology through the integration of photonic </w:t>
            </w:r>
            <w:proofErr w:type="spellStart"/>
            <w:r>
              <w:rPr>
                <w:rFonts w:eastAsia="Calibri"/>
                <w:bCs/>
                <w:kern w:val="0"/>
                <w:sz w:val="22"/>
                <w:szCs w:val="22"/>
                <w:lang w:eastAsia="en-US" w:bidi="ar-SA"/>
              </w:rPr>
              <w:t>metasurfaces</w:t>
            </w:r>
            <w:proofErr w:type="spellEnd"/>
            <w:r>
              <w:rPr>
                <w:rFonts w:eastAsia="Calibri"/>
                <w:bCs/>
                <w:kern w:val="0"/>
                <w:sz w:val="22"/>
                <w:szCs w:val="22"/>
                <w:lang w:eastAsia="en-US" w:bidi="ar-SA"/>
              </w:rPr>
              <w:t xml:space="preserve"> to enhance heat transfer and thermal management between the absorber, emitter, and PV cell. </w:t>
            </w:r>
            <w:proofErr w:type="spellStart"/>
            <w:r>
              <w:rPr>
                <w:rFonts w:eastAsia="Calibri"/>
                <w:bCs/>
                <w:kern w:val="0"/>
                <w:sz w:val="22"/>
                <w:szCs w:val="22"/>
                <w:lang w:eastAsia="en-US" w:bidi="ar-SA"/>
              </w:rPr>
              <w:t>Metasurfaces</w:t>
            </w:r>
            <w:proofErr w:type="spellEnd"/>
            <w:r>
              <w:rPr>
                <w:rFonts w:eastAsia="Calibri"/>
                <w:bCs/>
                <w:kern w:val="0"/>
                <w:sz w:val="22"/>
                <w:szCs w:val="22"/>
                <w:lang w:eastAsia="en-US" w:bidi="ar-SA"/>
              </w:rPr>
              <w:t xml:space="preserve">, engineered nanostructures capable of precise control over light-matter interactions, offer a compact, efficient route to spectral and directional radiation control critical for STPV performance. Early studies predict that intelligently designed </w:t>
            </w:r>
            <w:proofErr w:type="spellStart"/>
            <w:r>
              <w:rPr>
                <w:rFonts w:eastAsia="Calibri"/>
                <w:bCs/>
                <w:kern w:val="0"/>
                <w:sz w:val="22"/>
                <w:szCs w:val="22"/>
                <w:lang w:eastAsia="en-US" w:bidi="ar-SA"/>
              </w:rPr>
              <w:t>metasurfaces</w:t>
            </w:r>
            <w:proofErr w:type="spellEnd"/>
            <w:r>
              <w:rPr>
                <w:rFonts w:eastAsia="Calibri"/>
                <w:bCs/>
                <w:kern w:val="0"/>
                <w:sz w:val="22"/>
                <w:szCs w:val="22"/>
                <w:lang w:eastAsia="en-US" w:bidi="ar-SA"/>
              </w:rPr>
              <w:t xml:space="preserve"> could improve energy capture efficiency by up to 18%, compared to standard STPV systems. The core novelty lies in the AI-driven inverse design methodology, which integrates deep learning with finite-difference time-domain (FDTD) simulations to explore complex geometries and material interactions. This will allow us to co-optimize spectral absorption, directional emission, and thermal conductance within the system. Materials such as </w:t>
            </w:r>
            <w:proofErr w:type="spellStart"/>
            <w:r>
              <w:rPr>
                <w:rFonts w:eastAsia="Calibri"/>
                <w:bCs/>
                <w:kern w:val="0"/>
                <w:sz w:val="22"/>
                <w:szCs w:val="22"/>
                <w:lang w:eastAsia="en-US" w:bidi="ar-SA"/>
              </w:rPr>
              <w:t>TiN</w:t>
            </w:r>
            <w:proofErr w:type="spellEnd"/>
            <w:r>
              <w:rPr>
                <w:rFonts w:eastAsia="Calibri"/>
                <w:bCs/>
                <w:kern w:val="0"/>
                <w:sz w:val="22"/>
                <w:szCs w:val="22"/>
                <w:lang w:eastAsia="en-US" w:bidi="ar-SA"/>
              </w:rPr>
              <w:t xml:space="preserve">, AZO, and </w:t>
            </w:r>
            <w:proofErr w:type="spellStart"/>
            <w:r>
              <w:rPr>
                <w:rFonts w:eastAsia="Calibri"/>
                <w:bCs/>
                <w:kern w:val="0"/>
                <w:sz w:val="22"/>
                <w:szCs w:val="22"/>
                <w:lang w:eastAsia="en-US" w:bidi="ar-SA"/>
              </w:rPr>
              <w:t>TiO</w:t>
            </w:r>
            <w:proofErr w:type="spellEnd"/>
            <w:r>
              <w:rPr>
                <w:rFonts w:eastAsia="Calibri"/>
                <w:bCs/>
                <w:kern w:val="0"/>
                <w:sz w:val="22"/>
                <w:szCs w:val="22"/>
                <w:lang w:eastAsia="en-US" w:bidi="ar-SA"/>
              </w:rPr>
              <w:t xml:space="preserve">₂ will be explored due to their spectral and thermal properties under high-flux conditions. Through systematic simulation, fabrication-aware optimization, and optical and thermal characterization, the PhD candidate will develop a library of high-performance </w:t>
            </w:r>
            <w:proofErr w:type="spellStart"/>
            <w:r>
              <w:rPr>
                <w:rFonts w:eastAsia="Calibri"/>
                <w:bCs/>
                <w:kern w:val="0"/>
                <w:sz w:val="22"/>
                <w:szCs w:val="22"/>
                <w:lang w:eastAsia="en-US" w:bidi="ar-SA"/>
              </w:rPr>
              <w:t>metasurfaces</w:t>
            </w:r>
            <w:proofErr w:type="spellEnd"/>
            <w:r>
              <w:rPr>
                <w:rFonts w:eastAsia="Calibri"/>
                <w:bCs/>
                <w:kern w:val="0"/>
                <w:sz w:val="22"/>
                <w:szCs w:val="22"/>
                <w:lang w:eastAsia="en-US" w:bidi="ar-SA"/>
              </w:rPr>
              <w:t xml:space="preserve">. These designs will be tested for their ability to enhance radiation coupling, reduce thermal losses, and maintain operational temperature balance in practical STPV systems. The </w:t>
            </w:r>
            <w:r>
              <w:rPr>
                <w:rFonts w:eastAsia="Calibri"/>
                <w:bCs/>
                <w:kern w:val="0"/>
                <w:sz w:val="22"/>
                <w:szCs w:val="22"/>
                <w:lang w:eastAsia="en-US" w:bidi="ar-SA"/>
              </w:rPr>
              <w:lastRenderedPageBreak/>
              <w:t>project addresses pressing energy sustainability goals while contributing to fundamental advances in radiative heat transfer.</w:t>
            </w:r>
          </w:p>
          <w:p w14:paraId="5AABF5F0" w14:textId="77777777" w:rsidR="006C0673" w:rsidRDefault="006C0673" w:rsidP="00630C82">
            <w:pPr>
              <w:spacing w:after="160"/>
              <w:jc w:val="center"/>
              <w:rPr>
                <w:bCs/>
              </w:rPr>
            </w:pPr>
            <w:r>
              <w:rPr>
                <w:rFonts w:eastAsia="Calibri"/>
                <w:bCs/>
                <w:noProof/>
                <w:kern w:val="0"/>
                <w:sz w:val="22"/>
                <w:szCs w:val="22"/>
                <w:lang w:eastAsia="en-US" w:bidi="ar-SA"/>
              </w:rPr>
              <w:drawing>
                <wp:inline distT="0" distB="0" distL="0" distR="0" wp14:anchorId="45FF5E59" wp14:editId="70D364C8">
                  <wp:extent cx="3793490" cy="3253105"/>
                  <wp:effectExtent l="0" t="0" r="0" b="0"/>
                  <wp:docPr id="5" name="Picture 1" descr="A diagram of solar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diagram of solar cells&#10;&#10;Description automatically generated"/>
                          <pic:cNvPicPr>
                            <a:picLocks noChangeAspect="1" noChangeArrowheads="1"/>
                          </pic:cNvPicPr>
                        </pic:nvPicPr>
                        <pic:blipFill>
                          <a:blip r:embed="rId5"/>
                          <a:stretch>
                            <a:fillRect/>
                          </a:stretch>
                        </pic:blipFill>
                        <pic:spPr bwMode="auto">
                          <a:xfrm>
                            <a:off x="0" y="0"/>
                            <a:ext cx="3793490" cy="3253105"/>
                          </a:xfrm>
                          <a:prstGeom prst="rect">
                            <a:avLst/>
                          </a:prstGeom>
                        </pic:spPr>
                      </pic:pic>
                    </a:graphicData>
                  </a:graphic>
                </wp:inline>
              </w:drawing>
            </w:r>
          </w:p>
          <w:p w14:paraId="1206D866" w14:textId="77777777" w:rsidR="006C0673" w:rsidRDefault="006C0673" w:rsidP="00630C82">
            <w:pPr>
              <w:spacing w:line="276" w:lineRule="auto"/>
              <w:jc w:val="center"/>
              <w:rPr>
                <w:rFonts w:eastAsia="Calibri"/>
              </w:rPr>
            </w:pPr>
            <w:r>
              <w:rPr>
                <w:rFonts w:ascii="Arial" w:eastAsia="Calibri" w:hAnsi="Arial" w:cs="Arial"/>
                <w:bCs/>
                <w:i/>
                <w:iCs/>
                <w:kern w:val="0"/>
                <w:sz w:val="22"/>
                <w:szCs w:val="22"/>
                <w:lang w:eastAsia="en-US" w:bidi="ar-SA"/>
              </w:rPr>
              <w:t xml:space="preserve">Schematic representation of complete </w:t>
            </w:r>
            <w:proofErr w:type="spellStart"/>
            <w:r>
              <w:rPr>
                <w:rFonts w:ascii="Arial" w:eastAsia="Calibri" w:hAnsi="Arial" w:cs="Arial"/>
                <w:bCs/>
                <w:i/>
                <w:iCs/>
                <w:kern w:val="0"/>
                <w:sz w:val="22"/>
                <w:szCs w:val="22"/>
                <w:lang w:eastAsia="en-US" w:bidi="ar-SA"/>
              </w:rPr>
              <w:t>metasurface</w:t>
            </w:r>
            <w:proofErr w:type="spellEnd"/>
            <w:r>
              <w:rPr>
                <w:rFonts w:ascii="Arial" w:eastAsia="Calibri" w:hAnsi="Arial" w:cs="Arial"/>
                <w:bCs/>
                <w:i/>
                <w:iCs/>
                <w:kern w:val="0"/>
                <w:sz w:val="22"/>
                <w:szCs w:val="22"/>
                <w:lang w:eastAsia="en-US" w:bidi="ar-SA"/>
              </w:rPr>
              <w:t>-based STPV system design [showing (i) the sun and blackbody radiation spectrum, (ii) meta-absorber array and its absorptance, (iii) meta-emitter array and its emittance, and (iv) PV array]</w:t>
            </w:r>
          </w:p>
        </w:tc>
      </w:tr>
      <w:tr w:rsidR="006C0673" w14:paraId="0C806EFA" w14:textId="77777777" w:rsidTr="00630C82">
        <w:tc>
          <w:tcPr>
            <w:tcW w:w="9016" w:type="dxa"/>
            <w:gridSpan w:val="3"/>
            <w:shd w:val="clear" w:color="auto" w:fill="F2F2F2" w:themeFill="background1" w:themeFillShade="F2"/>
          </w:tcPr>
          <w:p w14:paraId="79D8C813" w14:textId="5100903F" w:rsidR="006C0673" w:rsidRDefault="006C0673" w:rsidP="00630C82">
            <w:pPr>
              <w:spacing w:line="276" w:lineRule="auto"/>
              <w:rPr>
                <w:b/>
              </w:rPr>
            </w:pPr>
            <w:r>
              <w:rPr>
                <w:rFonts w:eastAsia="Calibri"/>
                <w:b/>
                <w:kern w:val="0"/>
                <w:sz w:val="22"/>
                <w:szCs w:val="22"/>
                <w:lang w:eastAsia="en-US" w:bidi="ar-SA"/>
              </w:rPr>
              <w:lastRenderedPageBreak/>
              <w:t>Methodology</w:t>
            </w:r>
          </w:p>
        </w:tc>
      </w:tr>
      <w:tr w:rsidR="006C0673" w14:paraId="21A2A068" w14:textId="77777777" w:rsidTr="00630C82">
        <w:tc>
          <w:tcPr>
            <w:tcW w:w="9016" w:type="dxa"/>
            <w:gridSpan w:val="3"/>
          </w:tcPr>
          <w:p w14:paraId="362E19DA" w14:textId="77777777" w:rsidR="006C0673" w:rsidRDefault="006C0673" w:rsidP="00630C82">
            <w:pPr>
              <w:spacing w:line="276" w:lineRule="auto"/>
              <w:jc w:val="both"/>
              <w:rPr>
                <w:bCs/>
              </w:rPr>
            </w:pPr>
            <w:r>
              <w:rPr>
                <w:rFonts w:eastAsia="Calibri"/>
                <w:bCs/>
                <w:kern w:val="0"/>
                <w:sz w:val="22"/>
                <w:szCs w:val="22"/>
                <w:lang w:eastAsia="en-US" w:bidi="ar-SA"/>
              </w:rPr>
              <w:t xml:space="preserve">This project involves three integrated phases to realize high-efficiency STPV systems using </w:t>
            </w:r>
            <w:proofErr w:type="spellStart"/>
            <w:r>
              <w:rPr>
                <w:rFonts w:eastAsia="Calibri"/>
                <w:bCs/>
                <w:kern w:val="0"/>
                <w:sz w:val="22"/>
                <w:szCs w:val="22"/>
                <w:lang w:eastAsia="en-US" w:bidi="ar-SA"/>
              </w:rPr>
              <w:t>metasurface</w:t>
            </w:r>
            <w:proofErr w:type="spellEnd"/>
            <w:r>
              <w:rPr>
                <w:rFonts w:eastAsia="Calibri"/>
                <w:bCs/>
                <w:kern w:val="0"/>
                <w:sz w:val="22"/>
                <w:szCs w:val="22"/>
                <w:lang w:eastAsia="en-US" w:bidi="ar-SA"/>
              </w:rPr>
              <w:t xml:space="preserve"> engineering. First, a selection of refractory and plasmonic materials such as </w:t>
            </w:r>
            <w:proofErr w:type="spellStart"/>
            <w:r>
              <w:rPr>
                <w:rFonts w:eastAsia="Calibri"/>
                <w:bCs/>
                <w:kern w:val="0"/>
                <w:sz w:val="22"/>
                <w:szCs w:val="22"/>
                <w:lang w:eastAsia="en-US" w:bidi="ar-SA"/>
              </w:rPr>
              <w:t>TiN</w:t>
            </w:r>
            <w:proofErr w:type="spellEnd"/>
            <w:r>
              <w:rPr>
                <w:rFonts w:eastAsia="Calibri"/>
                <w:bCs/>
                <w:kern w:val="0"/>
                <w:sz w:val="22"/>
                <w:szCs w:val="22"/>
                <w:lang w:eastAsia="en-US" w:bidi="ar-SA"/>
              </w:rPr>
              <w:t xml:space="preserve">, AZO, and </w:t>
            </w:r>
            <w:proofErr w:type="spellStart"/>
            <w:r>
              <w:rPr>
                <w:rFonts w:eastAsia="Calibri"/>
                <w:bCs/>
                <w:kern w:val="0"/>
                <w:sz w:val="22"/>
                <w:szCs w:val="22"/>
                <w:lang w:eastAsia="en-US" w:bidi="ar-SA"/>
              </w:rPr>
              <w:t>TiO</w:t>
            </w:r>
            <w:proofErr w:type="spellEnd"/>
            <w:r>
              <w:rPr>
                <w:rFonts w:eastAsia="Calibri"/>
                <w:bCs/>
                <w:kern w:val="0"/>
                <w:sz w:val="22"/>
                <w:szCs w:val="22"/>
                <w:lang w:eastAsia="en-US" w:bidi="ar-SA"/>
              </w:rPr>
              <w:t xml:space="preserve">₂ will be assessed based on their dielectric functions, thermal resilience, and solar spectral response under varying illumination. Second, deep learning-assisted inverse design will be applied to optimize absorber and emitter </w:t>
            </w:r>
            <w:proofErr w:type="spellStart"/>
            <w:r>
              <w:rPr>
                <w:rFonts w:eastAsia="Calibri"/>
                <w:bCs/>
                <w:kern w:val="0"/>
                <w:sz w:val="22"/>
                <w:szCs w:val="22"/>
                <w:lang w:eastAsia="en-US" w:bidi="ar-SA"/>
              </w:rPr>
              <w:t>metasurfaces</w:t>
            </w:r>
            <w:proofErr w:type="spellEnd"/>
            <w:r>
              <w:rPr>
                <w:rFonts w:eastAsia="Calibri"/>
                <w:bCs/>
                <w:kern w:val="0"/>
                <w:sz w:val="22"/>
                <w:szCs w:val="22"/>
                <w:lang w:eastAsia="en-US" w:bidi="ar-SA"/>
              </w:rPr>
              <w:t xml:space="preserve">, incorporating FDTD and CST simulations to fine-tune nanostructure geometries for spectral selectivity and impedance matching. Target absorber structures will employ MIM architectures with engineered supercells, enabling polarization- and angle-insensitive high absorption. Third, system-level optical and thermal validation will be carried out using </w:t>
            </w:r>
            <w:proofErr w:type="spellStart"/>
            <w:r>
              <w:rPr>
                <w:rFonts w:eastAsia="Calibri"/>
                <w:bCs/>
                <w:kern w:val="0"/>
                <w:sz w:val="22"/>
                <w:szCs w:val="22"/>
                <w:lang w:eastAsia="en-US" w:bidi="ar-SA"/>
              </w:rPr>
              <w:t>OpticStudio</w:t>
            </w:r>
            <w:proofErr w:type="spellEnd"/>
            <w:r>
              <w:rPr>
                <w:rFonts w:eastAsia="Calibri"/>
                <w:bCs/>
                <w:kern w:val="0"/>
                <w:sz w:val="22"/>
                <w:szCs w:val="22"/>
                <w:lang w:eastAsia="en-US" w:bidi="ar-SA"/>
              </w:rPr>
              <w:t xml:space="preserve"> and COMSOL, with fabrication-aware design leading to experimental prototyping in collaboration with nanofabrication labs. Emphasis will be placed on enhancing intermediate and overall system efficiency by balancing selective absorption, thermal emission control, and photonic field localization—thereby overcoming radiative and thermalization losses in real-world STPV operation.</w:t>
            </w:r>
          </w:p>
        </w:tc>
      </w:tr>
      <w:tr w:rsidR="006C0673" w14:paraId="2ABDF5D8" w14:textId="77777777" w:rsidTr="00630C82">
        <w:tc>
          <w:tcPr>
            <w:tcW w:w="2694" w:type="dxa"/>
            <w:shd w:val="clear" w:color="auto" w:fill="F2F2F2" w:themeFill="background1" w:themeFillShade="F2"/>
          </w:tcPr>
          <w:p w14:paraId="76F071F2" w14:textId="77777777" w:rsidR="006C0673" w:rsidRDefault="006C0673" w:rsidP="00630C82">
            <w:pPr>
              <w:spacing w:line="276" w:lineRule="auto"/>
              <w:rPr>
                <w:b/>
              </w:rPr>
            </w:pPr>
            <w:r>
              <w:rPr>
                <w:rFonts w:eastAsia="Calibri"/>
                <w:b/>
                <w:kern w:val="0"/>
                <w:sz w:val="22"/>
                <w:szCs w:val="22"/>
                <w:lang w:eastAsia="en-US" w:bidi="ar-SA"/>
              </w:rPr>
              <w:t>Further Reading:</w:t>
            </w:r>
          </w:p>
          <w:p w14:paraId="01504BA7" w14:textId="1DAAA5D1" w:rsidR="006C0673" w:rsidRDefault="006C0673" w:rsidP="00630C82">
            <w:pPr>
              <w:spacing w:line="276" w:lineRule="auto"/>
              <w:rPr>
                <w:b/>
              </w:rPr>
            </w:pPr>
          </w:p>
        </w:tc>
        <w:tc>
          <w:tcPr>
            <w:tcW w:w="6322" w:type="dxa"/>
            <w:gridSpan w:val="2"/>
          </w:tcPr>
          <w:p w14:paraId="0072E72A" w14:textId="77777777" w:rsidR="006C0673" w:rsidRDefault="006C0673" w:rsidP="00630C82">
            <w:pPr>
              <w:pStyle w:val="Heading4"/>
              <w:numPr>
                <w:ilvl w:val="0"/>
                <w:numId w:val="4"/>
              </w:numPr>
              <w:shd w:val="clear" w:color="auto" w:fill="FFFFFF"/>
              <w:spacing w:before="0"/>
              <w:jc w:val="both"/>
              <w:rPr>
                <w:rFonts w:asciiTheme="minorHAnsi" w:hAnsiTheme="minorHAnsi" w:cstheme="minorHAnsi"/>
                <w:i w:val="0"/>
                <w:iCs w:val="0"/>
                <w:color w:val="000000"/>
              </w:rPr>
            </w:pPr>
            <w:r>
              <w:rPr>
                <w:rFonts w:asciiTheme="minorHAnsi" w:hAnsiTheme="minorHAnsi" w:cstheme="minorHAnsi"/>
                <w:i w:val="0"/>
                <w:iCs w:val="0"/>
                <w:color w:val="000000"/>
                <w:kern w:val="0"/>
                <w:sz w:val="22"/>
                <w:szCs w:val="22"/>
                <w:lang w:eastAsia="en-US" w:bidi="ar-SA"/>
              </w:rPr>
              <w:t xml:space="preserve">Ijaz, </w:t>
            </w:r>
            <w:proofErr w:type="spellStart"/>
            <w:r>
              <w:rPr>
                <w:rFonts w:asciiTheme="minorHAnsi" w:hAnsiTheme="minorHAnsi" w:cstheme="minorHAnsi"/>
                <w:i w:val="0"/>
                <w:iCs w:val="0"/>
                <w:color w:val="000000"/>
                <w:kern w:val="0"/>
                <w:sz w:val="22"/>
                <w:szCs w:val="22"/>
                <w:lang w:eastAsia="en-US" w:bidi="ar-SA"/>
              </w:rPr>
              <w:t>Sumbel</w:t>
            </w:r>
            <w:proofErr w:type="spellEnd"/>
            <w:r>
              <w:rPr>
                <w:rFonts w:asciiTheme="minorHAnsi" w:hAnsiTheme="minorHAnsi" w:cstheme="minorHAnsi"/>
                <w:i w:val="0"/>
                <w:iCs w:val="0"/>
                <w:color w:val="000000"/>
                <w:kern w:val="0"/>
                <w:sz w:val="22"/>
                <w:szCs w:val="22"/>
                <w:lang w:eastAsia="en-US" w:bidi="ar-SA"/>
              </w:rPr>
              <w:t>, et al. "</w:t>
            </w:r>
            <w:proofErr w:type="spellStart"/>
            <w:r>
              <w:rPr>
                <w:rFonts w:asciiTheme="minorHAnsi" w:hAnsiTheme="minorHAnsi" w:cstheme="minorHAnsi"/>
                <w:i w:val="0"/>
                <w:iCs w:val="0"/>
                <w:color w:val="000000"/>
                <w:kern w:val="0"/>
                <w:sz w:val="22"/>
                <w:szCs w:val="22"/>
                <w:lang w:eastAsia="en-US" w:bidi="ar-SA"/>
              </w:rPr>
              <w:t>Metasurface</w:t>
            </w:r>
            <w:proofErr w:type="spellEnd"/>
            <w:r>
              <w:rPr>
                <w:rFonts w:asciiTheme="minorHAnsi" w:hAnsiTheme="minorHAnsi" w:cstheme="minorHAnsi"/>
                <w:i w:val="0"/>
                <w:iCs w:val="0"/>
                <w:color w:val="000000"/>
                <w:kern w:val="0"/>
                <w:sz w:val="22"/>
                <w:szCs w:val="22"/>
                <w:lang w:eastAsia="en-US" w:bidi="ar-SA"/>
              </w:rPr>
              <w:t xml:space="preserve"> Absorber–Emitter Pair-Integrated High-Efficiency Thermophotovoltaic System." </w:t>
            </w:r>
            <w:r>
              <w:rPr>
                <w:rFonts w:asciiTheme="minorHAnsi" w:hAnsiTheme="minorHAnsi" w:cstheme="minorHAnsi"/>
                <w:b/>
                <w:bCs/>
                <w:i w:val="0"/>
                <w:iCs w:val="0"/>
                <w:color w:val="000000"/>
                <w:kern w:val="0"/>
                <w:sz w:val="22"/>
                <w:szCs w:val="22"/>
                <w:lang w:eastAsia="en-US" w:bidi="ar-SA"/>
              </w:rPr>
              <w:t>ACS Photonics</w:t>
            </w:r>
            <w:r>
              <w:rPr>
                <w:rFonts w:asciiTheme="minorHAnsi" w:hAnsiTheme="minorHAnsi" w:cstheme="minorHAnsi"/>
                <w:i w:val="0"/>
                <w:iCs w:val="0"/>
                <w:color w:val="000000"/>
                <w:kern w:val="0"/>
                <w:sz w:val="22"/>
                <w:szCs w:val="22"/>
                <w:lang w:eastAsia="en-US" w:bidi="ar-SA"/>
              </w:rPr>
              <w:t xml:space="preserve"> (2025). DOI: 10.1021/acsphotonics.5c00845</w:t>
            </w:r>
          </w:p>
          <w:p w14:paraId="531AF127" w14:textId="77777777" w:rsidR="006C0673" w:rsidRDefault="006C0673" w:rsidP="00630C82">
            <w:pPr>
              <w:pStyle w:val="Heading4"/>
              <w:numPr>
                <w:ilvl w:val="0"/>
                <w:numId w:val="4"/>
              </w:numPr>
              <w:shd w:val="clear" w:color="auto" w:fill="FFFFFF"/>
              <w:spacing w:before="0"/>
              <w:jc w:val="both"/>
              <w:rPr>
                <w:rFonts w:asciiTheme="minorHAnsi" w:hAnsiTheme="minorHAnsi" w:cstheme="minorHAnsi"/>
                <w:i w:val="0"/>
                <w:iCs w:val="0"/>
                <w:color w:val="000000"/>
              </w:rPr>
            </w:pPr>
            <w:r>
              <w:rPr>
                <w:rFonts w:asciiTheme="minorHAnsi" w:hAnsiTheme="minorHAnsi" w:cstheme="minorHAnsi"/>
                <w:i w:val="0"/>
                <w:iCs w:val="0"/>
                <w:color w:val="000000"/>
                <w:kern w:val="0"/>
                <w:sz w:val="22"/>
                <w:szCs w:val="22"/>
                <w:lang w:eastAsia="en-US" w:bidi="ar-SA"/>
              </w:rPr>
              <w:t xml:space="preserve">Li, Lin, et al. "Enhanced near-field thermophotovoltaics based on hyperbolic </w:t>
            </w:r>
            <w:proofErr w:type="spellStart"/>
            <w:r>
              <w:rPr>
                <w:rFonts w:asciiTheme="minorHAnsi" w:hAnsiTheme="minorHAnsi" w:cstheme="minorHAnsi"/>
                <w:i w:val="0"/>
                <w:iCs w:val="0"/>
                <w:color w:val="000000"/>
                <w:kern w:val="0"/>
                <w:sz w:val="22"/>
                <w:szCs w:val="22"/>
                <w:lang w:eastAsia="en-US" w:bidi="ar-SA"/>
              </w:rPr>
              <w:t>metasurface</w:t>
            </w:r>
            <w:proofErr w:type="spellEnd"/>
            <w:r>
              <w:rPr>
                <w:rFonts w:asciiTheme="minorHAnsi" w:hAnsiTheme="minorHAnsi" w:cstheme="minorHAnsi"/>
                <w:i w:val="0"/>
                <w:iCs w:val="0"/>
                <w:color w:val="000000"/>
                <w:kern w:val="0"/>
                <w:sz w:val="22"/>
                <w:szCs w:val="22"/>
                <w:lang w:eastAsia="en-US" w:bidi="ar-SA"/>
              </w:rPr>
              <w:t xml:space="preserve">." </w:t>
            </w:r>
            <w:r>
              <w:rPr>
                <w:rFonts w:asciiTheme="minorHAnsi" w:hAnsiTheme="minorHAnsi" w:cstheme="minorHAnsi"/>
                <w:b/>
                <w:bCs/>
                <w:i w:val="0"/>
                <w:iCs w:val="0"/>
                <w:color w:val="000000"/>
                <w:kern w:val="0"/>
                <w:sz w:val="22"/>
                <w:szCs w:val="22"/>
                <w:lang w:eastAsia="en-US" w:bidi="ar-SA"/>
              </w:rPr>
              <w:t>Applied Thermal Engineering</w:t>
            </w:r>
            <w:r>
              <w:rPr>
                <w:rFonts w:asciiTheme="minorHAnsi" w:hAnsiTheme="minorHAnsi" w:cstheme="minorHAnsi"/>
                <w:i w:val="0"/>
                <w:iCs w:val="0"/>
                <w:color w:val="000000"/>
                <w:kern w:val="0"/>
                <w:sz w:val="22"/>
                <w:szCs w:val="22"/>
                <w:lang w:eastAsia="en-US" w:bidi="ar-SA"/>
              </w:rPr>
              <w:t xml:space="preserve"> 262 (2025): 125272.</w:t>
            </w:r>
          </w:p>
          <w:p w14:paraId="4BA241AA" w14:textId="77777777" w:rsidR="006C0673" w:rsidRDefault="006C0673" w:rsidP="00630C82">
            <w:pPr>
              <w:pStyle w:val="Heading4"/>
              <w:numPr>
                <w:ilvl w:val="0"/>
                <w:numId w:val="4"/>
              </w:numPr>
              <w:shd w:val="clear" w:color="auto" w:fill="FFFFFF"/>
              <w:spacing w:before="0"/>
              <w:jc w:val="both"/>
              <w:rPr>
                <w:rFonts w:asciiTheme="minorHAnsi" w:hAnsiTheme="minorHAnsi" w:cstheme="minorHAnsi"/>
                <w:i w:val="0"/>
                <w:iCs w:val="0"/>
                <w:color w:val="000000"/>
              </w:rPr>
            </w:pPr>
            <w:proofErr w:type="spellStart"/>
            <w:r>
              <w:rPr>
                <w:rFonts w:asciiTheme="minorHAnsi" w:hAnsiTheme="minorHAnsi" w:cstheme="minorHAnsi"/>
                <w:i w:val="0"/>
                <w:iCs w:val="0"/>
                <w:color w:val="000000"/>
                <w:kern w:val="0"/>
                <w:sz w:val="22"/>
                <w:szCs w:val="22"/>
                <w:lang w:eastAsia="en-US" w:bidi="ar-SA"/>
              </w:rPr>
              <w:t>Noureen</w:t>
            </w:r>
            <w:proofErr w:type="spellEnd"/>
            <w:r>
              <w:rPr>
                <w:rFonts w:asciiTheme="minorHAnsi" w:hAnsiTheme="minorHAnsi" w:cstheme="minorHAnsi"/>
                <w:i w:val="0"/>
                <w:iCs w:val="0"/>
                <w:color w:val="000000"/>
                <w:kern w:val="0"/>
                <w:sz w:val="22"/>
                <w:szCs w:val="22"/>
                <w:lang w:eastAsia="en-US" w:bidi="ar-SA"/>
              </w:rPr>
              <w:t>, Sadia, et al. "Deep-learning empowered unique and rapid optimization of meta-absorbers for solar thermophotovoltaics." </w:t>
            </w:r>
            <w:r>
              <w:rPr>
                <w:rFonts w:asciiTheme="minorHAnsi" w:hAnsiTheme="minorHAnsi" w:cstheme="minorHAnsi"/>
                <w:b/>
                <w:bCs/>
                <w:i w:val="0"/>
                <w:iCs w:val="0"/>
                <w:color w:val="000000"/>
                <w:kern w:val="0"/>
                <w:sz w:val="22"/>
                <w:szCs w:val="22"/>
                <w:lang w:eastAsia="en-US" w:bidi="ar-SA"/>
              </w:rPr>
              <w:t>Optical Materials Express </w:t>
            </w:r>
            <w:r>
              <w:rPr>
                <w:rFonts w:asciiTheme="minorHAnsi" w:hAnsiTheme="minorHAnsi" w:cstheme="minorHAnsi"/>
                <w:i w:val="0"/>
                <w:iCs w:val="0"/>
                <w:color w:val="000000"/>
                <w:kern w:val="0"/>
                <w:sz w:val="22"/>
                <w:szCs w:val="22"/>
                <w:lang w:eastAsia="en-US" w:bidi="ar-SA"/>
              </w:rPr>
              <w:t>14.4 (2024): 1025-1038. DOI: 10.1364/OME.519077</w:t>
            </w:r>
          </w:p>
        </w:tc>
      </w:tr>
    </w:tbl>
    <w:p w14:paraId="292F7448" w14:textId="36A8101A" w:rsidR="001F13FA" w:rsidRPr="001F13FA" w:rsidRDefault="001F13FA" w:rsidP="006C0673">
      <w:pPr>
        <w:spacing w:line="276" w:lineRule="auto"/>
        <w:rPr>
          <w:rFonts w:eastAsia="Calibri"/>
        </w:rPr>
      </w:pPr>
    </w:p>
    <w:sectPr w:rsidR="001F13FA" w:rsidRPr="001F13FA" w:rsidSect="006C0673">
      <w:pgSz w:w="11906" w:h="16838"/>
      <w:pgMar w:top="1361" w:right="1531"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EAA"/>
    <w:multiLevelType w:val="multilevel"/>
    <w:tmpl w:val="471C6D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1834666"/>
    <w:multiLevelType w:val="multilevel"/>
    <w:tmpl w:val="15F84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8C800AB"/>
    <w:multiLevelType w:val="multilevel"/>
    <w:tmpl w:val="86444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1EC6079"/>
    <w:multiLevelType w:val="multilevel"/>
    <w:tmpl w:val="BF06BE1A"/>
    <w:lvl w:ilvl="0">
      <w:start w:val="1"/>
      <w:numFmt w:val="decimal"/>
      <w:lvlText w:val="%1."/>
      <w:lvlJc w:val="left"/>
      <w:pPr>
        <w:tabs>
          <w:tab w:val="num" w:pos="0"/>
        </w:tabs>
        <w:ind w:left="360" w:hanging="360"/>
      </w:pPr>
      <w:rPr>
        <w:i w:val="0"/>
        <w:i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73"/>
    <w:rsid w:val="001F13FA"/>
    <w:rsid w:val="006C0673"/>
    <w:rsid w:val="008D3692"/>
    <w:rsid w:val="00A3632B"/>
    <w:rsid w:val="00AD0B73"/>
    <w:rsid w:val="00F1456A"/>
    <w:rsid w:val="00F4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67DDF"/>
  <w15:chartTrackingRefBased/>
  <w15:docId w15:val="{51CCE7A1-1C2B-443A-9706-E70A3215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73"/>
    <w:pPr>
      <w:suppressAutoHyphens/>
      <w:spacing w:after="0" w:line="240" w:lineRule="auto"/>
    </w:pPr>
    <w:rPr>
      <w:rFonts w:ascii="Calibri" w:eastAsia="Noto Serif CJK SC" w:hAnsi="Calibri" w:cs="FreeSans"/>
      <w:kern w:val="2"/>
      <w:sz w:val="24"/>
      <w:szCs w:val="24"/>
      <w:lang w:eastAsia="zh-CN" w:bidi="hi-IN"/>
    </w:rPr>
  </w:style>
  <w:style w:type="paragraph" w:styleId="Heading4">
    <w:name w:val="heading 4"/>
    <w:basedOn w:val="Normal"/>
    <w:next w:val="Normal"/>
    <w:link w:val="Heading4Char"/>
    <w:uiPriority w:val="9"/>
    <w:unhideWhenUsed/>
    <w:qFormat/>
    <w:rsid w:val="006C06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0B73"/>
    <w:rPr>
      <w:color w:val="000080"/>
      <w:u w:val="single"/>
    </w:rPr>
  </w:style>
  <w:style w:type="paragraph" w:styleId="ListParagraph">
    <w:name w:val="List Paragraph"/>
    <w:basedOn w:val="Normal"/>
    <w:qFormat/>
    <w:rsid w:val="00F1456A"/>
    <w:pPr>
      <w:spacing w:after="160"/>
      <w:ind w:left="720"/>
      <w:contextualSpacing/>
    </w:pPr>
  </w:style>
  <w:style w:type="character" w:customStyle="1" w:styleId="Heading4Char">
    <w:name w:val="Heading 4 Char"/>
    <w:basedOn w:val="DefaultParagraphFont"/>
    <w:link w:val="Heading4"/>
    <w:uiPriority w:val="9"/>
    <w:rsid w:val="006C0673"/>
    <w:rPr>
      <w:rFonts w:asciiTheme="majorHAnsi" w:eastAsiaTheme="majorEastAsia" w:hAnsiTheme="majorHAnsi" w:cstheme="majorBidi"/>
      <w:i/>
      <w:iCs/>
      <w:color w:val="2F5496" w:themeColor="accent1" w:themeShade="BF"/>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Karen L.</dc:creator>
  <cp:keywords/>
  <dc:description/>
  <cp:lastModifiedBy>White, Karen L.</cp:lastModifiedBy>
  <cp:revision>2</cp:revision>
  <dcterms:created xsi:type="dcterms:W3CDTF">2025-08-06T10:33:00Z</dcterms:created>
  <dcterms:modified xsi:type="dcterms:W3CDTF">2025-08-06T10:33:00Z</dcterms:modified>
</cp:coreProperties>
</file>