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E74" w14:textId="329DAD9F" w:rsidR="00AD0B73" w:rsidRPr="00AD0B73" w:rsidRDefault="00AD0B73" w:rsidP="00AD0B73">
      <w:pPr>
        <w:rPr>
          <w:b/>
          <w:bCs/>
          <w:sz w:val="28"/>
          <w:szCs w:val="28"/>
        </w:rPr>
      </w:pPr>
      <w:r w:rsidRPr="00AD0B73">
        <w:rPr>
          <w:b/>
          <w:bCs/>
          <w:sz w:val="28"/>
          <w:szCs w:val="28"/>
        </w:rPr>
        <w:t>University of Leicester</w:t>
      </w:r>
    </w:p>
    <w:p w14:paraId="02E89429" w14:textId="55D67086" w:rsidR="00AD0B73" w:rsidRDefault="00AD0B73" w:rsidP="00AD0B73">
      <w:pPr>
        <w:rPr>
          <w:b/>
          <w:bCs/>
          <w:sz w:val="28"/>
          <w:szCs w:val="28"/>
        </w:rPr>
      </w:pPr>
      <w:r w:rsidRPr="00AD0B73">
        <w:rPr>
          <w:b/>
          <w:bCs/>
          <w:sz w:val="28"/>
          <w:szCs w:val="28"/>
        </w:rPr>
        <w:t>School of Engineering  - Les Booth Studentship 2025</w:t>
      </w:r>
    </w:p>
    <w:p w14:paraId="1EA79C7F" w14:textId="1F2B897B" w:rsidR="00285971" w:rsidRDefault="00285971" w:rsidP="00AD0B73">
      <w:pPr>
        <w:rPr>
          <w:b/>
          <w:bCs/>
          <w:sz w:val="28"/>
          <w:szCs w:val="28"/>
        </w:rPr>
      </w:pPr>
    </w:p>
    <w:p w14:paraId="6DDDC6B8" w14:textId="18123AEB" w:rsidR="00285971" w:rsidRDefault="00285971" w:rsidP="00285971">
      <w:pPr>
        <w:spacing w:line="276" w:lineRule="auto"/>
        <w:rPr>
          <w:rFonts w:eastAsia="Calibri"/>
        </w:rPr>
      </w:pPr>
      <w:r>
        <w:rPr>
          <w:rFonts w:eastAsia="Calibri"/>
          <w:b/>
          <w:bCs/>
          <w:kern w:val="0"/>
          <w:sz w:val="22"/>
          <w:szCs w:val="22"/>
          <w:lang w:eastAsia="en-US" w:bidi="ar-SA"/>
        </w:rPr>
        <w:t xml:space="preserve">Project </w:t>
      </w:r>
      <w:r>
        <w:rPr>
          <w:rFonts w:eastAsia="Calibri"/>
          <w:b/>
          <w:bCs/>
          <w:kern w:val="0"/>
          <w:sz w:val="22"/>
          <w:szCs w:val="22"/>
          <w:lang w:eastAsia="en-US" w:bidi="ar-SA"/>
        </w:rPr>
        <w:t>2. Analysis and Control of Aircraft Bleed Air Systems with Heat Dynamics</w:t>
      </w:r>
    </w:p>
    <w:p w14:paraId="680F9310" w14:textId="77777777" w:rsidR="00AD0B73" w:rsidRDefault="00AD0B73" w:rsidP="00AD0B73">
      <w:pPr>
        <w:rPr>
          <w:b/>
          <w:bCs/>
        </w:rPr>
      </w:pPr>
    </w:p>
    <w:p w14:paraId="06BB7126" w14:textId="77777777" w:rsidR="00F1456A" w:rsidRDefault="00F1456A" w:rsidP="00F1456A">
      <w:pPr>
        <w:spacing w:line="276" w:lineRule="auto"/>
        <w:rPr>
          <w:rFonts w:eastAsia="Calibri"/>
        </w:rPr>
      </w:pPr>
      <w:r>
        <w:rPr>
          <w:rFonts w:eastAsia="Calibri"/>
          <w:kern w:val="0"/>
          <w:sz w:val="22"/>
          <w:szCs w:val="22"/>
          <w:lang w:eastAsia="en-US" w:bidi="ar-SA"/>
        </w:rPr>
        <w:t xml:space="preserve">Dr Khaled </w:t>
      </w:r>
      <w:proofErr w:type="spellStart"/>
      <w:r>
        <w:rPr>
          <w:rFonts w:eastAsia="Calibri"/>
          <w:kern w:val="0"/>
          <w:sz w:val="22"/>
          <w:szCs w:val="22"/>
          <w:lang w:eastAsia="en-US" w:bidi="ar-SA"/>
        </w:rPr>
        <w:t>Laib</w:t>
      </w:r>
      <w:proofErr w:type="spellEnd"/>
      <w:r>
        <w:rPr>
          <w:rFonts w:eastAsia="Calibri"/>
          <w:kern w:val="0"/>
          <w:sz w:val="22"/>
          <w:szCs w:val="22"/>
          <w:lang w:eastAsia="en-US" w:bidi="ar-SA"/>
        </w:rPr>
        <w:t xml:space="preserve"> - </w:t>
      </w:r>
      <w:hyperlink r:id="rId5">
        <w:r>
          <w:rPr>
            <w:rStyle w:val="Hyperlink"/>
            <w:rFonts w:eastAsia="Calibri"/>
            <w:kern w:val="0"/>
            <w:sz w:val="22"/>
            <w:szCs w:val="22"/>
            <w:lang w:eastAsia="en-US" w:bidi="ar-SA"/>
          </w:rPr>
          <w:t>kl314@leicester.ac.uk</w:t>
        </w:r>
      </w:hyperlink>
    </w:p>
    <w:p w14:paraId="5FF061F2" w14:textId="77777777" w:rsidR="00F1456A" w:rsidRDefault="00F1456A" w:rsidP="00F1456A">
      <w:pPr>
        <w:spacing w:line="276" w:lineRule="auto"/>
        <w:rPr>
          <w:rFonts w:eastAsia="Calibri"/>
        </w:rPr>
      </w:pPr>
    </w:p>
    <w:tbl>
      <w:tblPr>
        <w:tblW w:w="9016" w:type="dxa"/>
        <w:tblInd w:w="-113" w:type="dxa"/>
        <w:tblLayout w:type="fixed"/>
        <w:tblLook w:val="04A0" w:firstRow="1" w:lastRow="0" w:firstColumn="1" w:lastColumn="0" w:noHBand="0" w:noVBand="1"/>
      </w:tblPr>
      <w:tblGrid>
        <w:gridCol w:w="1979"/>
        <w:gridCol w:w="421"/>
        <w:gridCol w:w="6616"/>
      </w:tblGrid>
      <w:tr w:rsidR="00F1456A" w14:paraId="51836ACD" w14:textId="77777777" w:rsidTr="00630C82">
        <w:tc>
          <w:tcPr>
            <w:tcW w:w="1979" w:type="dxa"/>
            <w:shd w:val="clear" w:color="auto" w:fill="F2F2F2" w:themeFill="background1" w:themeFillShade="F2"/>
          </w:tcPr>
          <w:p w14:paraId="23EA6206" w14:textId="77777777" w:rsidR="00F1456A" w:rsidRDefault="00F1456A" w:rsidP="00630C82">
            <w:pPr>
              <w:spacing w:line="276" w:lineRule="auto"/>
              <w:rPr>
                <w:b/>
              </w:rPr>
            </w:pPr>
            <w:r>
              <w:rPr>
                <w:rFonts w:eastAsia="Calibri"/>
                <w:b/>
                <w:kern w:val="0"/>
                <w:sz w:val="22"/>
                <w:szCs w:val="22"/>
                <w:lang w:eastAsia="en-US" w:bidi="ar-SA"/>
              </w:rPr>
              <w:t>Project Title</w:t>
            </w:r>
          </w:p>
        </w:tc>
        <w:tc>
          <w:tcPr>
            <w:tcW w:w="7037" w:type="dxa"/>
            <w:gridSpan w:val="2"/>
          </w:tcPr>
          <w:p w14:paraId="3A3DB438" w14:textId="77777777" w:rsidR="00F1456A" w:rsidRDefault="00F1456A" w:rsidP="00630C82">
            <w:pPr>
              <w:spacing w:line="276" w:lineRule="auto"/>
              <w:rPr>
                <w:rFonts w:eastAsia="Calibri"/>
                <w:kern w:val="0"/>
                <w:sz w:val="22"/>
                <w:szCs w:val="22"/>
                <w:lang w:eastAsia="en-US" w:bidi="ar-SA"/>
              </w:rPr>
            </w:pPr>
            <w:r>
              <w:rPr>
                <w:rFonts w:eastAsia="Calibri"/>
                <w:kern w:val="0"/>
                <w:sz w:val="22"/>
                <w:szCs w:val="22"/>
                <w:lang w:eastAsia="en-US" w:bidi="ar-SA"/>
              </w:rPr>
              <w:t>Analysis and Control of Aircraft Bleed Air Systems with Heat Dynamics</w:t>
            </w:r>
          </w:p>
          <w:p w14:paraId="71BF433D" w14:textId="738E6ECD" w:rsidR="00F1456A" w:rsidRDefault="00F1456A" w:rsidP="00630C82">
            <w:pPr>
              <w:spacing w:line="276" w:lineRule="auto"/>
              <w:rPr>
                <w:rFonts w:eastAsia="Calibri"/>
              </w:rPr>
            </w:pPr>
          </w:p>
        </w:tc>
      </w:tr>
      <w:tr w:rsidR="00F1456A" w14:paraId="332D247B" w14:textId="77777777" w:rsidTr="00630C82">
        <w:tc>
          <w:tcPr>
            <w:tcW w:w="1979" w:type="dxa"/>
            <w:vMerge w:val="restart"/>
            <w:shd w:val="clear" w:color="auto" w:fill="F2F2F2" w:themeFill="background1" w:themeFillShade="F2"/>
          </w:tcPr>
          <w:p w14:paraId="39A52D30" w14:textId="77777777" w:rsidR="00F1456A" w:rsidRDefault="00F1456A" w:rsidP="00630C82">
            <w:pPr>
              <w:spacing w:line="276" w:lineRule="auto"/>
              <w:rPr>
                <w:b/>
              </w:rPr>
            </w:pPr>
            <w:r>
              <w:rPr>
                <w:rFonts w:eastAsia="Calibri"/>
                <w:b/>
                <w:kern w:val="0"/>
                <w:sz w:val="22"/>
                <w:szCs w:val="22"/>
                <w:lang w:eastAsia="en-US" w:bidi="ar-SA"/>
              </w:rPr>
              <w:t>Project Highlights:</w:t>
            </w:r>
          </w:p>
        </w:tc>
        <w:tc>
          <w:tcPr>
            <w:tcW w:w="421" w:type="dxa"/>
            <w:shd w:val="clear" w:color="auto" w:fill="F2F2F2" w:themeFill="background1" w:themeFillShade="F2"/>
          </w:tcPr>
          <w:p w14:paraId="10C367CD" w14:textId="77777777" w:rsidR="00F1456A" w:rsidRDefault="00F1456A" w:rsidP="00630C82">
            <w:pPr>
              <w:spacing w:line="276" w:lineRule="auto"/>
              <w:rPr>
                <w:rFonts w:eastAsia="Calibri"/>
              </w:rPr>
            </w:pPr>
            <w:r>
              <w:rPr>
                <w:rFonts w:eastAsia="Calibri"/>
                <w:kern w:val="0"/>
                <w:sz w:val="22"/>
                <w:szCs w:val="22"/>
                <w:lang w:eastAsia="en-US" w:bidi="ar-SA"/>
              </w:rPr>
              <w:t>1.</w:t>
            </w:r>
          </w:p>
        </w:tc>
        <w:tc>
          <w:tcPr>
            <w:tcW w:w="6616" w:type="dxa"/>
          </w:tcPr>
          <w:p w14:paraId="3371E363" w14:textId="77777777" w:rsidR="00F1456A" w:rsidRDefault="00F1456A" w:rsidP="00630C82">
            <w:pPr>
              <w:spacing w:line="276" w:lineRule="auto"/>
              <w:rPr>
                <w:rFonts w:eastAsia="Calibri"/>
              </w:rPr>
            </w:pPr>
            <w:r>
              <w:rPr>
                <w:rFonts w:eastAsia="Calibri"/>
                <w:kern w:val="0"/>
                <w:sz w:val="22"/>
                <w:szCs w:val="22"/>
                <w:lang w:eastAsia="en-US" w:bidi="ar-SA"/>
              </w:rPr>
              <w:t>Integrated heat transfer modelling and robustness analysis</w:t>
            </w:r>
          </w:p>
        </w:tc>
      </w:tr>
      <w:tr w:rsidR="00F1456A" w14:paraId="5613CA83" w14:textId="77777777" w:rsidTr="00630C82">
        <w:tc>
          <w:tcPr>
            <w:tcW w:w="1979" w:type="dxa"/>
            <w:vMerge/>
            <w:shd w:val="clear" w:color="auto" w:fill="F2F2F2" w:themeFill="background1" w:themeFillShade="F2"/>
          </w:tcPr>
          <w:p w14:paraId="65DD6284" w14:textId="77777777" w:rsidR="00F1456A" w:rsidRDefault="00F1456A" w:rsidP="00630C82">
            <w:pPr>
              <w:spacing w:line="276" w:lineRule="auto"/>
              <w:rPr>
                <w:b/>
              </w:rPr>
            </w:pPr>
          </w:p>
        </w:tc>
        <w:tc>
          <w:tcPr>
            <w:tcW w:w="421" w:type="dxa"/>
            <w:shd w:val="clear" w:color="auto" w:fill="F2F2F2" w:themeFill="background1" w:themeFillShade="F2"/>
          </w:tcPr>
          <w:p w14:paraId="79194801" w14:textId="77777777" w:rsidR="00F1456A" w:rsidRDefault="00F1456A" w:rsidP="00630C82">
            <w:pPr>
              <w:spacing w:line="276" w:lineRule="auto"/>
              <w:rPr>
                <w:rFonts w:eastAsia="Calibri"/>
              </w:rPr>
            </w:pPr>
            <w:r>
              <w:rPr>
                <w:rFonts w:eastAsia="Calibri"/>
                <w:kern w:val="0"/>
                <w:sz w:val="22"/>
                <w:szCs w:val="22"/>
                <w:lang w:eastAsia="en-US" w:bidi="ar-SA"/>
              </w:rPr>
              <w:t>2.</w:t>
            </w:r>
          </w:p>
        </w:tc>
        <w:tc>
          <w:tcPr>
            <w:tcW w:w="6616" w:type="dxa"/>
          </w:tcPr>
          <w:p w14:paraId="59EC3756" w14:textId="77777777" w:rsidR="00F1456A" w:rsidRDefault="00F1456A" w:rsidP="00630C82">
            <w:pPr>
              <w:spacing w:line="276" w:lineRule="auto"/>
              <w:rPr>
                <w:rFonts w:eastAsia="Calibri"/>
              </w:rPr>
            </w:pPr>
            <w:r>
              <w:rPr>
                <w:rFonts w:eastAsia="Calibri"/>
                <w:kern w:val="0"/>
                <w:sz w:val="22"/>
                <w:szCs w:val="22"/>
                <w:lang w:eastAsia="en-US" w:bidi="ar-SA"/>
              </w:rPr>
              <w:t>Advanced control design using LPV and LMI techniques</w:t>
            </w:r>
          </w:p>
        </w:tc>
      </w:tr>
      <w:tr w:rsidR="00F1456A" w14:paraId="392CFF9E" w14:textId="77777777" w:rsidTr="00630C82">
        <w:tc>
          <w:tcPr>
            <w:tcW w:w="1979" w:type="dxa"/>
            <w:vMerge/>
            <w:shd w:val="clear" w:color="auto" w:fill="F2F2F2" w:themeFill="background1" w:themeFillShade="F2"/>
          </w:tcPr>
          <w:p w14:paraId="504CEF7C" w14:textId="77777777" w:rsidR="00F1456A" w:rsidRDefault="00F1456A" w:rsidP="00630C82">
            <w:pPr>
              <w:spacing w:line="276" w:lineRule="auto"/>
              <w:rPr>
                <w:b/>
              </w:rPr>
            </w:pPr>
          </w:p>
        </w:tc>
        <w:tc>
          <w:tcPr>
            <w:tcW w:w="421" w:type="dxa"/>
            <w:shd w:val="clear" w:color="auto" w:fill="F2F2F2" w:themeFill="background1" w:themeFillShade="F2"/>
          </w:tcPr>
          <w:p w14:paraId="328C5777" w14:textId="77777777" w:rsidR="00F1456A" w:rsidRDefault="00F1456A" w:rsidP="00630C82">
            <w:pPr>
              <w:spacing w:line="276" w:lineRule="auto"/>
              <w:rPr>
                <w:rFonts w:eastAsia="Calibri"/>
              </w:rPr>
            </w:pPr>
            <w:r>
              <w:rPr>
                <w:rFonts w:eastAsia="Calibri"/>
                <w:kern w:val="0"/>
                <w:sz w:val="22"/>
                <w:szCs w:val="22"/>
                <w:lang w:eastAsia="en-US" w:bidi="ar-SA"/>
              </w:rPr>
              <w:t>3.</w:t>
            </w:r>
          </w:p>
        </w:tc>
        <w:tc>
          <w:tcPr>
            <w:tcW w:w="6616" w:type="dxa"/>
          </w:tcPr>
          <w:p w14:paraId="2EA8E77D" w14:textId="77777777" w:rsidR="00F1456A" w:rsidRDefault="00F1456A" w:rsidP="00630C82">
            <w:pPr>
              <w:spacing w:line="276" w:lineRule="auto"/>
              <w:rPr>
                <w:rFonts w:eastAsia="Calibri"/>
                <w:kern w:val="0"/>
                <w:sz w:val="22"/>
                <w:szCs w:val="22"/>
                <w:lang w:eastAsia="en-US" w:bidi="ar-SA"/>
              </w:rPr>
            </w:pPr>
            <w:r>
              <w:rPr>
                <w:rFonts w:eastAsia="Calibri"/>
                <w:kern w:val="0"/>
                <w:sz w:val="22"/>
                <w:szCs w:val="22"/>
                <w:lang w:eastAsia="en-US" w:bidi="ar-SA"/>
              </w:rPr>
              <w:t>Collaborative research linking fundamental control theory and industry</w:t>
            </w:r>
          </w:p>
          <w:p w14:paraId="4D044DE4" w14:textId="6C37AB06" w:rsidR="00F1456A" w:rsidRDefault="00F1456A" w:rsidP="00630C82">
            <w:pPr>
              <w:spacing w:line="276" w:lineRule="auto"/>
              <w:rPr>
                <w:rFonts w:eastAsia="Calibri"/>
              </w:rPr>
            </w:pPr>
          </w:p>
        </w:tc>
      </w:tr>
      <w:tr w:rsidR="00F1456A" w14:paraId="3E2AB84B" w14:textId="77777777" w:rsidTr="00630C82">
        <w:tc>
          <w:tcPr>
            <w:tcW w:w="9016" w:type="dxa"/>
            <w:gridSpan w:val="3"/>
            <w:shd w:val="clear" w:color="auto" w:fill="F2F2F2" w:themeFill="background1" w:themeFillShade="F2"/>
          </w:tcPr>
          <w:p w14:paraId="0E57176F" w14:textId="20C565E0" w:rsidR="00F1456A" w:rsidRDefault="00F1456A" w:rsidP="00630C82">
            <w:pPr>
              <w:spacing w:line="276" w:lineRule="auto"/>
              <w:rPr>
                <w:rFonts w:eastAsia="Calibri"/>
              </w:rPr>
            </w:pPr>
            <w:r>
              <w:rPr>
                <w:rFonts w:eastAsia="Calibri"/>
                <w:b/>
                <w:kern w:val="0"/>
                <w:sz w:val="22"/>
                <w:szCs w:val="22"/>
                <w:lang w:eastAsia="en-US" w:bidi="ar-SA"/>
              </w:rPr>
              <w:t>Project Overview</w:t>
            </w:r>
          </w:p>
        </w:tc>
      </w:tr>
      <w:tr w:rsidR="00F1456A" w14:paraId="3B5B4051" w14:textId="77777777" w:rsidTr="00630C82">
        <w:tc>
          <w:tcPr>
            <w:tcW w:w="9016" w:type="dxa"/>
            <w:gridSpan w:val="3"/>
          </w:tcPr>
          <w:p w14:paraId="07ECED37" w14:textId="77777777" w:rsidR="00F1456A" w:rsidRDefault="00F1456A" w:rsidP="00630C82">
            <w:pPr>
              <w:spacing w:line="276" w:lineRule="auto"/>
              <w:jc w:val="both"/>
              <w:rPr>
                <w:bCs/>
              </w:rPr>
            </w:pPr>
            <w:r>
              <w:rPr>
                <w:rFonts w:eastAsia="Calibri"/>
                <w:bCs/>
                <w:kern w:val="0"/>
                <w:sz w:val="22"/>
                <w:szCs w:val="22"/>
                <w:lang w:eastAsia="en-US" w:bidi="ar-SA"/>
              </w:rPr>
              <w:t>This project aims to develop a robust modelling and control framework for aircraft bleed air systems, which are fundamental to the thermal management infrastructure of an aeroplane. These systems extract high-temperature, high-pressure air from the engine compressor stages and supply it to critical subsystems, including cabin pressurisation, environmental control units, and wing anti-icing. The behaviour of bleed air systems involves complex interactions among thermal, pneumatic, and mechanical domains, operating across a broad and uncertain range of flight conditions. Ensuring performance, safety, and efficiency under such variability requires rigorous modelling and advanced robust control strategies.</w:t>
            </w:r>
          </w:p>
          <w:p w14:paraId="275513E6" w14:textId="77777777" w:rsidR="00F1456A" w:rsidRDefault="00F1456A" w:rsidP="00630C82">
            <w:pPr>
              <w:spacing w:line="276" w:lineRule="auto"/>
              <w:jc w:val="both"/>
              <w:rPr>
                <w:bCs/>
              </w:rPr>
            </w:pPr>
          </w:p>
          <w:p w14:paraId="05E92BE2" w14:textId="77777777" w:rsidR="00F1456A" w:rsidRDefault="00F1456A" w:rsidP="00630C82">
            <w:pPr>
              <w:spacing w:line="276" w:lineRule="auto"/>
              <w:jc w:val="both"/>
              <w:rPr>
                <w:bCs/>
              </w:rPr>
            </w:pPr>
            <w:r>
              <w:rPr>
                <w:rFonts w:eastAsia="Calibri"/>
                <w:bCs/>
                <w:kern w:val="0"/>
                <w:sz w:val="22"/>
                <w:szCs w:val="22"/>
                <w:lang w:eastAsia="en-US" w:bidi="ar-SA"/>
              </w:rPr>
              <w:t>Heat transfer within major aircraft components—such as ducts, exchangers, valves, and fuselage panels—can be modelled using Partial Differential Equations (PDEs) that capture conduction, convection, and thermal inertia. To manage complexity and enable tractable theoretical analysis, spatial discretisation will be applied, resulting in a large-scale network of interconnected lumped-parameter subsystems. This modular representation supports scalable, component-level analysis. Integral Quadratic Constraints (IQCs) will serve as the primary tool to assess system stability and input–output performance under structured uncertainties and nonlinear effects.</w:t>
            </w:r>
          </w:p>
          <w:p w14:paraId="5D4541F6" w14:textId="77777777" w:rsidR="00F1456A" w:rsidRDefault="00F1456A" w:rsidP="00630C82">
            <w:pPr>
              <w:spacing w:line="276" w:lineRule="auto"/>
              <w:jc w:val="both"/>
              <w:rPr>
                <w:bCs/>
              </w:rPr>
            </w:pPr>
          </w:p>
          <w:p w14:paraId="4500516F" w14:textId="77777777" w:rsidR="00F1456A" w:rsidRDefault="00F1456A" w:rsidP="00630C82">
            <w:pPr>
              <w:spacing w:line="276" w:lineRule="auto"/>
              <w:jc w:val="both"/>
              <w:rPr>
                <w:bCs/>
              </w:rPr>
            </w:pPr>
            <w:r>
              <w:rPr>
                <w:rFonts w:eastAsia="Calibri"/>
                <w:bCs/>
                <w:kern w:val="0"/>
                <w:sz w:val="22"/>
                <w:szCs w:val="22"/>
                <w:lang w:eastAsia="en-US" w:bidi="ar-SA"/>
              </w:rPr>
              <w:t>To capture key operating conditions, the Linear Parameter Varying (LPV) approach will represent various components of the bleed air system, with scheduling variables such as altitude, engine spool speed, and bleed air demand, while also incorporating the refined thermal characteristics obtained from the heat transfer IQC analysis.  Robust gain-scheduled controllers will be developed using Linear Matrix Inequality (LMI) methods to ensure performance and stability across the flight envelope. Beyond centralised control schemes, the component-based architecture of the bleed air system—comprising valves, heat exchangers, ducts, and sensors—is well-suited to distributed and hierarchical control strategies. These approaches enable local controllers to regulate individual components, while supervisory controllers coordinate system-wide objectives such as energy efficiency, thermal regulation, and fault resilience. This layered structure enhances modularity and aligns with certification and safety requirements in aerospace systems.</w:t>
            </w:r>
          </w:p>
          <w:p w14:paraId="3840EBB6" w14:textId="77777777" w:rsidR="00F1456A" w:rsidRDefault="00F1456A" w:rsidP="00630C82">
            <w:pPr>
              <w:spacing w:line="276" w:lineRule="auto"/>
              <w:jc w:val="both"/>
              <w:rPr>
                <w:bCs/>
              </w:rPr>
            </w:pPr>
          </w:p>
          <w:p w14:paraId="2D9F7D89" w14:textId="77777777" w:rsidR="00F1456A" w:rsidRDefault="00F1456A" w:rsidP="00630C82">
            <w:pPr>
              <w:spacing w:line="276" w:lineRule="auto"/>
              <w:jc w:val="both"/>
              <w:rPr>
                <w:bCs/>
              </w:rPr>
            </w:pPr>
            <w:r>
              <w:rPr>
                <w:rFonts w:eastAsia="Calibri"/>
                <w:bCs/>
                <w:kern w:val="0"/>
                <w:sz w:val="22"/>
                <w:szCs w:val="22"/>
                <w:lang w:eastAsia="en-US" w:bidi="ar-SA"/>
              </w:rPr>
              <w:lastRenderedPageBreak/>
              <w:t>This project blends first-principles physical modelling with robust control methodologies to enable high-assurance, certifiable thermal management strategies.  A newly established collaboration with Liebherr Aerospace will provide access to operational data and industrial expertise, ensuring the developed solutions are practical and industry-relevant.</w:t>
            </w:r>
          </w:p>
          <w:p w14:paraId="5A9FB122" w14:textId="77777777" w:rsidR="00F1456A" w:rsidRDefault="00F1456A" w:rsidP="00630C82">
            <w:pPr>
              <w:spacing w:line="276" w:lineRule="auto"/>
              <w:jc w:val="both"/>
              <w:rPr>
                <w:bCs/>
              </w:rPr>
            </w:pPr>
          </w:p>
        </w:tc>
      </w:tr>
      <w:tr w:rsidR="00F1456A" w14:paraId="5ECF8BB4" w14:textId="77777777" w:rsidTr="00630C82">
        <w:tc>
          <w:tcPr>
            <w:tcW w:w="9016" w:type="dxa"/>
            <w:gridSpan w:val="3"/>
            <w:shd w:val="clear" w:color="auto" w:fill="F2F2F2" w:themeFill="background1" w:themeFillShade="F2"/>
          </w:tcPr>
          <w:p w14:paraId="36BF2A89" w14:textId="2F83E59D" w:rsidR="00F1456A" w:rsidRDefault="00F1456A" w:rsidP="00630C82">
            <w:pPr>
              <w:spacing w:line="276" w:lineRule="auto"/>
              <w:rPr>
                <w:b/>
              </w:rPr>
            </w:pPr>
            <w:r>
              <w:rPr>
                <w:rFonts w:eastAsia="Calibri"/>
                <w:b/>
                <w:kern w:val="0"/>
                <w:sz w:val="22"/>
                <w:szCs w:val="22"/>
                <w:lang w:eastAsia="en-US" w:bidi="ar-SA"/>
              </w:rPr>
              <w:lastRenderedPageBreak/>
              <w:t xml:space="preserve">Methodology </w:t>
            </w:r>
          </w:p>
        </w:tc>
      </w:tr>
      <w:tr w:rsidR="00F1456A" w14:paraId="41671A75" w14:textId="77777777" w:rsidTr="00630C82">
        <w:tc>
          <w:tcPr>
            <w:tcW w:w="9016" w:type="dxa"/>
            <w:gridSpan w:val="3"/>
          </w:tcPr>
          <w:p w14:paraId="5B2F7299" w14:textId="77777777" w:rsidR="00F1456A" w:rsidRDefault="00F1456A" w:rsidP="00630C82">
            <w:pPr>
              <w:spacing w:line="276" w:lineRule="auto"/>
              <w:jc w:val="both"/>
              <w:rPr>
                <w:bCs/>
              </w:rPr>
            </w:pPr>
            <w:r>
              <w:rPr>
                <w:rFonts w:eastAsia="Calibri"/>
                <w:bCs/>
                <w:kern w:val="0"/>
                <w:sz w:val="22"/>
                <w:szCs w:val="22"/>
                <w:lang w:eastAsia="en-US" w:bidi="ar-SA"/>
              </w:rPr>
              <w:t>The project will combine system theory, convex optimisation, and simulation to develop robust control for aircraft bleed air systems. Heat transfer will be modelled by parabolic PDEs and converted into lumped-parameter networks via spatial discretisation. IQC theory will support robustness analysis under uncertainties and nonlinearities.</w:t>
            </w:r>
          </w:p>
          <w:p w14:paraId="464C3B3D" w14:textId="77777777" w:rsidR="00F1456A" w:rsidRDefault="00F1456A" w:rsidP="00630C82">
            <w:pPr>
              <w:spacing w:line="276" w:lineRule="auto"/>
              <w:jc w:val="both"/>
              <w:rPr>
                <w:bCs/>
              </w:rPr>
            </w:pPr>
          </w:p>
          <w:p w14:paraId="75895CF6" w14:textId="77777777" w:rsidR="00F1456A" w:rsidRDefault="00F1456A" w:rsidP="00630C82">
            <w:pPr>
              <w:spacing w:line="276" w:lineRule="auto"/>
              <w:jc w:val="both"/>
              <w:rPr>
                <w:bCs/>
              </w:rPr>
            </w:pPr>
            <w:r>
              <w:rPr>
                <w:rFonts w:eastAsia="Calibri"/>
                <w:bCs/>
                <w:kern w:val="0"/>
                <w:sz w:val="22"/>
                <w:szCs w:val="22"/>
                <w:lang w:eastAsia="en-US" w:bidi="ar-SA"/>
              </w:rPr>
              <w:t>Operating conditions like altitude and engine speed will be captured with LPV state-space models. Robust gain-scheduled controllers will then be formulated using LMI convex optimization to ensure performance across the flight envelope.</w:t>
            </w:r>
          </w:p>
          <w:p w14:paraId="31C04659" w14:textId="77777777" w:rsidR="00F1456A" w:rsidRDefault="00F1456A" w:rsidP="00630C82">
            <w:pPr>
              <w:spacing w:line="276" w:lineRule="auto"/>
              <w:jc w:val="both"/>
              <w:rPr>
                <w:bCs/>
              </w:rPr>
            </w:pPr>
          </w:p>
          <w:p w14:paraId="38579D46" w14:textId="77777777" w:rsidR="00F1456A" w:rsidRDefault="00F1456A" w:rsidP="00630C82">
            <w:pPr>
              <w:spacing w:line="276" w:lineRule="auto"/>
              <w:jc w:val="both"/>
              <w:rPr>
                <w:bCs/>
              </w:rPr>
            </w:pPr>
            <w:r>
              <w:rPr>
                <w:rFonts w:eastAsia="Calibri"/>
                <w:bCs/>
                <w:kern w:val="0"/>
                <w:sz w:val="22"/>
                <w:szCs w:val="22"/>
                <w:lang w:eastAsia="en-US" w:bidi="ar-SA"/>
              </w:rPr>
              <w:t>Control architectures will include centralised, decentralised, and hierarchical schemes for scalability and fault tolerance. MATLAB and Simulink will be the main computational and simulation tools.</w:t>
            </w:r>
          </w:p>
          <w:p w14:paraId="14395136" w14:textId="77777777" w:rsidR="00F1456A" w:rsidRDefault="00F1456A" w:rsidP="00630C82">
            <w:pPr>
              <w:spacing w:line="276" w:lineRule="auto"/>
              <w:jc w:val="both"/>
              <w:rPr>
                <w:bCs/>
              </w:rPr>
            </w:pPr>
          </w:p>
          <w:p w14:paraId="75ED42BB" w14:textId="77777777" w:rsidR="00F1456A" w:rsidRDefault="00F1456A" w:rsidP="00630C82">
            <w:pPr>
              <w:spacing w:line="276" w:lineRule="auto"/>
              <w:jc w:val="both"/>
              <w:rPr>
                <w:bCs/>
              </w:rPr>
            </w:pPr>
            <w:r>
              <w:rPr>
                <w:rFonts w:eastAsia="Calibri"/>
                <w:bCs/>
                <w:kern w:val="0"/>
                <w:sz w:val="22"/>
                <w:szCs w:val="22"/>
                <w:lang w:eastAsia="en-US" w:bidi="ar-SA"/>
              </w:rPr>
              <w:t>Model validation will use Liebherr Aerospace data, assessed by metrics such as RMSE and frequency response, iteratively from component to system level.</w:t>
            </w:r>
          </w:p>
          <w:p w14:paraId="2A25F007" w14:textId="77777777" w:rsidR="00F1456A" w:rsidRDefault="00F1456A" w:rsidP="00630C82">
            <w:pPr>
              <w:spacing w:line="276" w:lineRule="auto"/>
              <w:jc w:val="both"/>
              <w:rPr>
                <w:bCs/>
              </w:rPr>
            </w:pPr>
          </w:p>
          <w:p w14:paraId="0C760C32" w14:textId="77777777" w:rsidR="00F1456A" w:rsidRDefault="00F1456A" w:rsidP="00630C82">
            <w:pPr>
              <w:spacing w:line="276" w:lineRule="auto"/>
              <w:rPr>
                <w:bCs/>
              </w:rPr>
            </w:pPr>
            <w:r>
              <w:rPr>
                <w:rFonts w:eastAsia="Calibri"/>
                <w:bCs/>
                <w:kern w:val="0"/>
                <w:sz w:val="22"/>
                <w:szCs w:val="22"/>
                <w:lang w:eastAsia="en-US" w:bidi="ar-SA"/>
              </w:rPr>
              <w:t>The project will run over three years: Year 1 for modelling and robustness analysis, Year 2 for control design, and Year 3 for validation and refinement.</w:t>
            </w:r>
          </w:p>
          <w:p w14:paraId="27BE90DD" w14:textId="77777777" w:rsidR="00F1456A" w:rsidRDefault="00F1456A" w:rsidP="00630C82">
            <w:pPr>
              <w:spacing w:line="276" w:lineRule="auto"/>
              <w:rPr>
                <w:bCs/>
              </w:rPr>
            </w:pPr>
          </w:p>
          <w:p w14:paraId="54C838B0" w14:textId="15275A8A" w:rsidR="00F1456A" w:rsidRDefault="00F1456A" w:rsidP="00630C82">
            <w:pPr>
              <w:spacing w:line="276" w:lineRule="auto"/>
              <w:jc w:val="center"/>
              <w:rPr>
                <w:bCs/>
              </w:rPr>
            </w:pPr>
            <w:r>
              <w:rPr>
                <w:rFonts w:eastAsia="Calibri"/>
                <w:bCs/>
                <w:noProof/>
                <w:kern w:val="0"/>
                <w:sz w:val="22"/>
                <w:szCs w:val="22"/>
                <w:lang w:eastAsia="en-US" w:bidi="ar-SA"/>
              </w:rPr>
              <mc:AlternateContent>
                <mc:Choice Requires="wps">
                  <w:drawing>
                    <wp:anchor distT="0" distB="0" distL="114300" distR="114300" simplePos="0" relativeHeight="251659264" behindDoc="0" locked="0" layoutInCell="1" allowOverlap="1" wp14:anchorId="0D4271C8" wp14:editId="6310C37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D363"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rpwV+cBAADEAwAADgAAAAAAAAAAAAAAAAAuAgAAZHJzL2Uyb0RvYy54bWxQSwECLQAU&#10;AAYACAAAACEAhluH1dgAAAAFAQAADwAAAAAAAAAAAAAAAABBBAAAZHJzL2Rvd25yZXYueG1sUEsF&#10;BgAAAAAEAAQA8wAAAEYFAAAAAA==&#10;" filled="f" stroked="f">
                      <o:lock v:ext="edit" aspectratio="t" selection="t"/>
                    </v:rect>
                  </w:pict>
                </mc:Fallback>
              </mc:AlternateContent>
            </w:r>
            <w:r>
              <w:rPr>
                <w:rFonts w:eastAsia="Calibri"/>
                <w:bCs/>
                <w:kern w:val="0"/>
                <w:sz w:val="22"/>
                <w:szCs w:val="22"/>
                <w:lang w:eastAsia="en-US" w:bidi="ar-SA"/>
              </w:rPr>
              <w:object w:dxaOrig="6749" w:dyaOrig="5968" w14:anchorId="4913B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o:spid="_x0000_i1025" type="#_x0000_t75" style="width:337.45pt;height:298.4pt;visibility:visible;mso-wrap-distance-right:0" o:ole="">
                  <v:imagedata r:id="rId6" o:title=""/>
                </v:shape>
                <o:OLEObject Type="Embed" ProgID="PBrush" ShapeID="ole_rId6" DrawAspect="Content" ObjectID="_1815984879" r:id="rId7"/>
              </w:object>
            </w:r>
          </w:p>
          <w:p w14:paraId="20339FF1" w14:textId="77777777" w:rsidR="00F1456A" w:rsidRDefault="00F1456A" w:rsidP="00630C82">
            <w:pPr>
              <w:spacing w:line="276" w:lineRule="auto"/>
              <w:jc w:val="center"/>
              <w:rPr>
                <w:rFonts w:eastAsia="Calibri"/>
              </w:rPr>
            </w:pPr>
            <w:r>
              <w:rPr>
                <w:rFonts w:eastAsia="Calibri"/>
                <w:i/>
                <w:iCs/>
                <w:kern w:val="0"/>
                <w:sz w:val="22"/>
                <w:szCs w:val="22"/>
                <w:lang w:eastAsia="en-US" w:bidi="ar-SA"/>
              </w:rPr>
              <w:t>The diagram outlines a modelling and control framework for aircraft bleed air systems, with an emphasis on thermal management and control strategy development. Bleed air, extracted from the engine, is used to support critical functions such as environmental control, cabin pressurisation, and wing anti-icing. These subsystems require accurate modelling of heat transfer and effective regulation.</w:t>
            </w:r>
          </w:p>
          <w:p w14:paraId="778B9885" w14:textId="77777777" w:rsidR="00F1456A" w:rsidRDefault="00F1456A" w:rsidP="00630C82">
            <w:pPr>
              <w:spacing w:line="276" w:lineRule="auto"/>
              <w:jc w:val="center"/>
              <w:rPr>
                <w:bCs/>
              </w:rPr>
            </w:pPr>
          </w:p>
        </w:tc>
      </w:tr>
      <w:tr w:rsidR="00F1456A" w14:paraId="3287CCB8" w14:textId="77777777" w:rsidTr="00630C82">
        <w:tc>
          <w:tcPr>
            <w:tcW w:w="1979" w:type="dxa"/>
            <w:shd w:val="clear" w:color="auto" w:fill="F2F2F2" w:themeFill="background1" w:themeFillShade="F2"/>
          </w:tcPr>
          <w:p w14:paraId="2B6EC2F6" w14:textId="77777777" w:rsidR="00F1456A" w:rsidRDefault="00F1456A" w:rsidP="00630C82">
            <w:pPr>
              <w:spacing w:line="276" w:lineRule="auto"/>
              <w:rPr>
                <w:b/>
              </w:rPr>
            </w:pPr>
            <w:r>
              <w:rPr>
                <w:rFonts w:eastAsia="Calibri"/>
                <w:b/>
                <w:kern w:val="0"/>
                <w:sz w:val="22"/>
                <w:szCs w:val="22"/>
                <w:lang w:eastAsia="en-US" w:bidi="ar-SA"/>
              </w:rPr>
              <w:t>Further Reading:</w:t>
            </w:r>
          </w:p>
          <w:p w14:paraId="533A23A5" w14:textId="4FE21672" w:rsidR="00F1456A" w:rsidRDefault="00F1456A" w:rsidP="00630C82">
            <w:pPr>
              <w:spacing w:line="276" w:lineRule="auto"/>
              <w:rPr>
                <w:b/>
              </w:rPr>
            </w:pPr>
          </w:p>
        </w:tc>
        <w:tc>
          <w:tcPr>
            <w:tcW w:w="7037" w:type="dxa"/>
            <w:gridSpan w:val="2"/>
          </w:tcPr>
          <w:p w14:paraId="78764755" w14:textId="77777777" w:rsidR="00F1456A" w:rsidRDefault="00F1456A" w:rsidP="00630C82">
            <w:pPr>
              <w:spacing w:line="276" w:lineRule="auto"/>
              <w:jc w:val="center"/>
              <w:rPr>
                <w:bCs/>
              </w:rPr>
            </w:pPr>
          </w:p>
          <w:p w14:paraId="6C9B7246" w14:textId="77777777" w:rsidR="00F1456A" w:rsidRDefault="00F1456A" w:rsidP="00630C82">
            <w:pPr>
              <w:pStyle w:val="ListParagraph"/>
              <w:numPr>
                <w:ilvl w:val="0"/>
                <w:numId w:val="1"/>
              </w:numPr>
              <w:spacing w:after="0" w:line="276" w:lineRule="auto"/>
              <w:rPr>
                <w:bCs/>
              </w:rPr>
            </w:pPr>
            <w:r>
              <w:rPr>
                <w:rFonts w:eastAsia="Calibri"/>
                <w:bCs/>
                <w:kern w:val="0"/>
                <w:sz w:val="22"/>
                <w:szCs w:val="22"/>
                <w:lang w:eastAsia="en-US" w:bidi="ar-SA"/>
              </w:rPr>
              <w:t xml:space="preserve">A. Pollok and F. Casella, "Comparison of control strategies for aircraft bleed-air systems," </w:t>
            </w:r>
            <w:r>
              <w:rPr>
                <w:rFonts w:eastAsia="Calibri"/>
                <w:bCs/>
                <w:i/>
                <w:iCs/>
                <w:kern w:val="0"/>
                <w:sz w:val="22"/>
                <w:szCs w:val="22"/>
                <w:lang w:eastAsia="en-US" w:bidi="ar-SA"/>
              </w:rPr>
              <w:t>IFAC-</w:t>
            </w:r>
            <w:proofErr w:type="spellStart"/>
            <w:r>
              <w:rPr>
                <w:rFonts w:eastAsia="Calibri"/>
                <w:bCs/>
                <w:i/>
                <w:iCs/>
                <w:kern w:val="0"/>
                <w:sz w:val="22"/>
                <w:szCs w:val="22"/>
                <w:lang w:eastAsia="en-US" w:bidi="ar-SA"/>
              </w:rPr>
              <w:t>PapersOnLine</w:t>
            </w:r>
            <w:proofErr w:type="spellEnd"/>
            <w:r>
              <w:rPr>
                <w:rFonts w:eastAsia="Calibri"/>
                <w:bCs/>
                <w:kern w:val="0"/>
                <w:sz w:val="22"/>
                <w:szCs w:val="22"/>
                <w:lang w:eastAsia="en-US" w:bidi="ar-SA"/>
              </w:rPr>
              <w:t xml:space="preserve">, vol. 50, no. 1, pp. 14194–14199, 2017, </w:t>
            </w:r>
            <w:proofErr w:type="spellStart"/>
            <w:r>
              <w:rPr>
                <w:rFonts w:eastAsia="Calibri"/>
                <w:bCs/>
                <w:kern w:val="0"/>
                <w:sz w:val="22"/>
                <w:szCs w:val="22"/>
                <w:lang w:eastAsia="en-US" w:bidi="ar-SA"/>
              </w:rPr>
              <w:t>doi</w:t>
            </w:r>
            <w:proofErr w:type="spellEnd"/>
            <w:r>
              <w:rPr>
                <w:rFonts w:eastAsia="Calibri"/>
                <w:bCs/>
                <w:kern w:val="0"/>
                <w:sz w:val="22"/>
                <w:szCs w:val="22"/>
                <w:lang w:eastAsia="en-US" w:bidi="ar-SA"/>
              </w:rPr>
              <w:t xml:space="preserve">: </w:t>
            </w:r>
            <w:hyperlink r:id="rId8" w:tgtFrame="_new">
              <w:r>
                <w:rPr>
                  <w:rStyle w:val="Hyperlink"/>
                  <w:rFonts w:eastAsia="Calibri"/>
                  <w:bCs/>
                  <w:kern w:val="0"/>
                  <w:sz w:val="22"/>
                  <w:szCs w:val="22"/>
                  <w:lang w:eastAsia="en-US" w:bidi="ar-SA"/>
                </w:rPr>
                <w:t>10.1016/j.ifacol.2017.08.2087</w:t>
              </w:r>
            </w:hyperlink>
            <w:r>
              <w:rPr>
                <w:rFonts w:eastAsia="Calibri"/>
                <w:bCs/>
                <w:kern w:val="0"/>
                <w:sz w:val="22"/>
                <w:szCs w:val="22"/>
                <w:lang w:eastAsia="en-US" w:bidi="ar-SA"/>
              </w:rPr>
              <w:t>.</w:t>
            </w:r>
          </w:p>
          <w:p w14:paraId="227BE4F0" w14:textId="77777777" w:rsidR="00F1456A" w:rsidRDefault="00F1456A" w:rsidP="00630C82">
            <w:pPr>
              <w:pStyle w:val="ListParagraph"/>
              <w:spacing w:after="0" w:line="276" w:lineRule="auto"/>
              <w:rPr>
                <w:bCs/>
              </w:rPr>
            </w:pPr>
          </w:p>
          <w:p w14:paraId="060A8842" w14:textId="77777777" w:rsidR="00F1456A" w:rsidRDefault="00F1456A" w:rsidP="00630C82">
            <w:pPr>
              <w:pStyle w:val="ListParagraph"/>
              <w:numPr>
                <w:ilvl w:val="0"/>
                <w:numId w:val="1"/>
              </w:numPr>
              <w:spacing w:after="0" w:line="276" w:lineRule="auto"/>
              <w:rPr>
                <w:bCs/>
              </w:rPr>
            </w:pPr>
            <w:r>
              <w:rPr>
                <w:rFonts w:eastAsia="Calibri"/>
                <w:bCs/>
                <w:kern w:val="0"/>
                <w:sz w:val="22"/>
                <w:szCs w:val="22"/>
                <w:lang w:eastAsia="en-US" w:bidi="ar-SA"/>
              </w:rPr>
              <w:t xml:space="preserve">A. </w:t>
            </w:r>
            <w:proofErr w:type="spellStart"/>
            <w:r>
              <w:rPr>
                <w:rFonts w:eastAsia="Calibri"/>
                <w:bCs/>
                <w:kern w:val="0"/>
                <w:sz w:val="22"/>
                <w:szCs w:val="22"/>
                <w:lang w:eastAsia="en-US" w:bidi="ar-SA"/>
              </w:rPr>
              <w:t>Megretski</w:t>
            </w:r>
            <w:proofErr w:type="spellEnd"/>
            <w:r>
              <w:rPr>
                <w:rFonts w:eastAsia="Calibri"/>
                <w:bCs/>
                <w:kern w:val="0"/>
                <w:sz w:val="22"/>
                <w:szCs w:val="22"/>
                <w:lang w:eastAsia="en-US" w:bidi="ar-SA"/>
              </w:rPr>
              <w:t xml:space="preserve"> and A. </w:t>
            </w:r>
            <w:proofErr w:type="spellStart"/>
            <w:r>
              <w:rPr>
                <w:rFonts w:eastAsia="Calibri"/>
                <w:bCs/>
                <w:kern w:val="0"/>
                <w:sz w:val="22"/>
                <w:szCs w:val="22"/>
                <w:lang w:eastAsia="en-US" w:bidi="ar-SA"/>
              </w:rPr>
              <w:t>Rantzer</w:t>
            </w:r>
            <w:proofErr w:type="spellEnd"/>
            <w:r>
              <w:rPr>
                <w:rFonts w:eastAsia="Calibri"/>
                <w:bCs/>
                <w:kern w:val="0"/>
                <w:sz w:val="22"/>
                <w:szCs w:val="22"/>
                <w:lang w:eastAsia="en-US" w:bidi="ar-SA"/>
              </w:rPr>
              <w:t xml:space="preserve">, "System analysis via integral quadratic constraints," </w:t>
            </w:r>
            <w:r>
              <w:rPr>
                <w:rFonts w:eastAsia="Calibri"/>
                <w:bCs/>
                <w:i/>
                <w:iCs/>
                <w:kern w:val="0"/>
                <w:sz w:val="22"/>
                <w:szCs w:val="22"/>
                <w:lang w:eastAsia="en-US" w:bidi="ar-SA"/>
              </w:rPr>
              <w:t>IEEE Transactions on Automatic Control</w:t>
            </w:r>
            <w:r>
              <w:rPr>
                <w:rFonts w:eastAsia="Calibri"/>
                <w:bCs/>
                <w:kern w:val="0"/>
                <w:sz w:val="22"/>
                <w:szCs w:val="22"/>
                <w:lang w:eastAsia="en-US" w:bidi="ar-SA"/>
              </w:rPr>
              <w:t xml:space="preserve">, vol. 42, no. 6, pp. 819–830, Jun. 1997, </w:t>
            </w:r>
            <w:proofErr w:type="spellStart"/>
            <w:r>
              <w:rPr>
                <w:rFonts w:eastAsia="Calibri"/>
                <w:bCs/>
                <w:kern w:val="0"/>
                <w:sz w:val="22"/>
                <w:szCs w:val="22"/>
                <w:lang w:eastAsia="en-US" w:bidi="ar-SA"/>
              </w:rPr>
              <w:t>doi</w:t>
            </w:r>
            <w:proofErr w:type="spellEnd"/>
            <w:r>
              <w:rPr>
                <w:rFonts w:eastAsia="Calibri"/>
                <w:bCs/>
                <w:kern w:val="0"/>
                <w:sz w:val="22"/>
                <w:szCs w:val="22"/>
                <w:lang w:eastAsia="en-US" w:bidi="ar-SA"/>
              </w:rPr>
              <w:t xml:space="preserve">: </w:t>
            </w:r>
            <w:hyperlink r:id="rId9">
              <w:r>
                <w:rPr>
                  <w:rStyle w:val="Hyperlink"/>
                  <w:rFonts w:eastAsia="Calibri"/>
                  <w:bCs/>
                  <w:kern w:val="0"/>
                  <w:sz w:val="22"/>
                  <w:szCs w:val="22"/>
                  <w:lang w:eastAsia="en-US" w:bidi="ar-SA"/>
                </w:rPr>
                <w:t>10.1109/9.588644</w:t>
              </w:r>
            </w:hyperlink>
            <w:r>
              <w:rPr>
                <w:rFonts w:eastAsia="Calibri"/>
                <w:bCs/>
                <w:kern w:val="0"/>
                <w:sz w:val="22"/>
                <w:szCs w:val="22"/>
                <w:lang w:eastAsia="en-US" w:bidi="ar-SA"/>
              </w:rPr>
              <w:t>.</w:t>
            </w:r>
          </w:p>
          <w:p w14:paraId="5D1A00E0" w14:textId="77777777" w:rsidR="00F1456A" w:rsidRDefault="00F1456A" w:rsidP="00630C82">
            <w:pPr>
              <w:pStyle w:val="ListParagraph"/>
              <w:rPr>
                <w:bCs/>
              </w:rPr>
            </w:pPr>
          </w:p>
          <w:p w14:paraId="49A0745B" w14:textId="77777777" w:rsidR="00F1456A" w:rsidRDefault="00F1456A" w:rsidP="00630C82">
            <w:pPr>
              <w:pStyle w:val="ListParagraph"/>
              <w:numPr>
                <w:ilvl w:val="0"/>
                <w:numId w:val="1"/>
              </w:numPr>
              <w:spacing w:after="0" w:line="276" w:lineRule="auto"/>
              <w:rPr>
                <w:b/>
              </w:rPr>
            </w:pPr>
            <w:r>
              <w:rPr>
                <w:rFonts w:eastAsia="Calibri"/>
                <w:bCs/>
                <w:kern w:val="0"/>
                <w:sz w:val="22"/>
                <w:szCs w:val="22"/>
                <w:lang w:eastAsia="en-US" w:bidi="ar-SA"/>
              </w:rPr>
              <w:t xml:space="preserve">A. Packard and M. </w:t>
            </w:r>
            <w:proofErr w:type="spellStart"/>
            <w:r>
              <w:rPr>
                <w:rFonts w:eastAsia="Calibri"/>
                <w:bCs/>
                <w:kern w:val="0"/>
                <w:sz w:val="22"/>
                <w:szCs w:val="22"/>
                <w:lang w:eastAsia="en-US" w:bidi="ar-SA"/>
              </w:rPr>
              <w:t>Kantner</w:t>
            </w:r>
            <w:proofErr w:type="spellEnd"/>
            <w:r>
              <w:rPr>
                <w:rFonts w:eastAsia="Calibri"/>
                <w:bCs/>
                <w:kern w:val="0"/>
                <w:sz w:val="22"/>
                <w:szCs w:val="22"/>
                <w:lang w:eastAsia="en-US" w:bidi="ar-SA"/>
              </w:rPr>
              <w:t xml:space="preserve">, "Gain scheduling the LPV way," in </w:t>
            </w:r>
            <w:r>
              <w:rPr>
                <w:rFonts w:eastAsia="Calibri"/>
                <w:bCs/>
                <w:i/>
                <w:iCs/>
                <w:kern w:val="0"/>
                <w:sz w:val="22"/>
                <w:szCs w:val="22"/>
                <w:lang w:eastAsia="en-US" w:bidi="ar-SA"/>
              </w:rPr>
              <w:t>Proc. 35th IEEE Conf. Decision and Control</w:t>
            </w:r>
            <w:r>
              <w:rPr>
                <w:rFonts w:eastAsia="Calibri"/>
                <w:bCs/>
                <w:kern w:val="0"/>
                <w:sz w:val="22"/>
                <w:szCs w:val="22"/>
                <w:lang w:eastAsia="en-US" w:bidi="ar-SA"/>
              </w:rPr>
              <w:t xml:space="preserve">, Kobe, Japan, 1996, vol. 4, pp. 3938–3941, </w:t>
            </w:r>
            <w:proofErr w:type="spellStart"/>
            <w:r>
              <w:rPr>
                <w:rFonts w:eastAsia="Calibri"/>
                <w:bCs/>
                <w:kern w:val="0"/>
                <w:sz w:val="22"/>
                <w:szCs w:val="22"/>
                <w:lang w:eastAsia="en-US" w:bidi="ar-SA"/>
              </w:rPr>
              <w:t>doi</w:t>
            </w:r>
            <w:proofErr w:type="spellEnd"/>
            <w:r>
              <w:rPr>
                <w:rFonts w:eastAsia="Calibri"/>
                <w:bCs/>
                <w:kern w:val="0"/>
                <w:sz w:val="22"/>
                <w:szCs w:val="22"/>
                <w:lang w:eastAsia="en-US" w:bidi="ar-SA"/>
              </w:rPr>
              <w:t xml:space="preserve">: </w:t>
            </w:r>
            <w:hyperlink r:id="rId10">
              <w:r>
                <w:rPr>
                  <w:rStyle w:val="Hyperlink"/>
                  <w:rFonts w:eastAsia="Calibri"/>
                  <w:bCs/>
                  <w:kern w:val="0"/>
                  <w:sz w:val="22"/>
                  <w:szCs w:val="22"/>
                  <w:lang w:eastAsia="en-US" w:bidi="ar-SA"/>
                </w:rPr>
                <w:t>10.1109/CDC.1996.577296</w:t>
              </w:r>
            </w:hyperlink>
            <w:r>
              <w:rPr>
                <w:rFonts w:eastAsia="Calibri"/>
                <w:bCs/>
                <w:kern w:val="0"/>
                <w:sz w:val="22"/>
                <w:szCs w:val="22"/>
                <w:lang w:eastAsia="en-US" w:bidi="ar-SA"/>
              </w:rPr>
              <w:t>.</w:t>
            </w:r>
          </w:p>
          <w:p w14:paraId="2B9C9EE0" w14:textId="77777777" w:rsidR="00F1456A" w:rsidRDefault="00F1456A" w:rsidP="00630C82">
            <w:pPr>
              <w:spacing w:line="276" w:lineRule="auto"/>
              <w:rPr>
                <w:b/>
              </w:rPr>
            </w:pPr>
          </w:p>
        </w:tc>
      </w:tr>
    </w:tbl>
    <w:p w14:paraId="00C86020" w14:textId="77777777" w:rsidR="00AD0B73" w:rsidRDefault="00AD0B73" w:rsidP="00AD0B73">
      <w:pPr>
        <w:rPr>
          <w:b/>
          <w:bCs/>
        </w:rPr>
      </w:pPr>
    </w:p>
    <w:sectPr w:rsidR="00AD0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4666"/>
    <w:multiLevelType w:val="multilevel"/>
    <w:tmpl w:val="15F84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3"/>
    <w:rsid w:val="00285971"/>
    <w:rsid w:val="008D3692"/>
    <w:rsid w:val="00A3632B"/>
    <w:rsid w:val="00AD0B73"/>
    <w:rsid w:val="00F1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7DDF"/>
  <w15:chartTrackingRefBased/>
  <w15:docId w15:val="{51CCE7A1-1C2B-443A-9706-E70A3215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3"/>
    <w:pPr>
      <w:suppressAutoHyphens/>
      <w:spacing w:after="0" w:line="240" w:lineRule="auto"/>
    </w:pPr>
    <w:rPr>
      <w:rFonts w:ascii="Calibri" w:eastAsia="Noto Serif CJK SC" w:hAnsi="Calibri" w:cs="Free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B73"/>
    <w:rPr>
      <w:color w:val="000080"/>
      <w:u w:val="single"/>
    </w:rPr>
  </w:style>
  <w:style w:type="paragraph" w:styleId="ListParagraph">
    <w:name w:val="List Paragraph"/>
    <w:basedOn w:val="Normal"/>
    <w:qFormat/>
    <w:rsid w:val="00F1456A"/>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facol.2017.08.2087"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l314@leicester.ac.uk" TargetMode="External"/><Relationship Id="rId10" Type="http://schemas.openxmlformats.org/officeDocument/2006/relationships/hyperlink" Target="https://ieeexplore.ieee.org/document/577296" TargetMode="External"/><Relationship Id="rId4" Type="http://schemas.openxmlformats.org/officeDocument/2006/relationships/webSettings" Target="webSettings.xml"/><Relationship Id="rId9" Type="http://schemas.openxmlformats.org/officeDocument/2006/relationships/hyperlink" Target="https://ieeexplore.ieee.org/document/587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Karen L.</dc:creator>
  <cp:keywords/>
  <dc:description/>
  <cp:lastModifiedBy>White, Karen L.</cp:lastModifiedBy>
  <cp:revision>3</cp:revision>
  <dcterms:created xsi:type="dcterms:W3CDTF">2025-08-06T10:25:00Z</dcterms:created>
  <dcterms:modified xsi:type="dcterms:W3CDTF">2025-08-06T10:28:00Z</dcterms:modified>
</cp:coreProperties>
</file>