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7E74" w14:textId="329DAD9F" w:rsidR="00AD0B73" w:rsidRPr="00AD0B73" w:rsidRDefault="00AD0B73" w:rsidP="00AD0B73">
      <w:pPr>
        <w:rPr>
          <w:b/>
          <w:bCs/>
          <w:sz w:val="28"/>
          <w:szCs w:val="28"/>
        </w:rPr>
      </w:pPr>
      <w:r w:rsidRPr="00AD0B73">
        <w:rPr>
          <w:b/>
          <w:bCs/>
          <w:sz w:val="28"/>
          <w:szCs w:val="28"/>
        </w:rPr>
        <w:t>University of Leicester</w:t>
      </w:r>
    </w:p>
    <w:p w14:paraId="02E89429" w14:textId="561FC74A" w:rsidR="00AD0B73" w:rsidRPr="00AD0B73" w:rsidRDefault="00AD0B73" w:rsidP="00AD0B73">
      <w:pPr>
        <w:rPr>
          <w:b/>
          <w:bCs/>
          <w:sz w:val="28"/>
          <w:szCs w:val="28"/>
        </w:rPr>
      </w:pPr>
      <w:r w:rsidRPr="00AD0B73">
        <w:rPr>
          <w:b/>
          <w:bCs/>
          <w:sz w:val="28"/>
          <w:szCs w:val="28"/>
        </w:rPr>
        <w:t xml:space="preserve">School of </w:t>
      </w:r>
      <w:proofErr w:type="gramStart"/>
      <w:r w:rsidRPr="00AD0B73">
        <w:rPr>
          <w:b/>
          <w:bCs/>
          <w:sz w:val="28"/>
          <w:szCs w:val="28"/>
        </w:rPr>
        <w:t>Engineering  -</w:t>
      </w:r>
      <w:proofErr w:type="gramEnd"/>
      <w:r w:rsidRPr="00AD0B73">
        <w:rPr>
          <w:b/>
          <w:bCs/>
          <w:sz w:val="28"/>
          <w:szCs w:val="28"/>
        </w:rPr>
        <w:t xml:space="preserve"> Les Booth Studentship 2025</w:t>
      </w:r>
    </w:p>
    <w:p w14:paraId="680F9310" w14:textId="77777777" w:rsidR="00AD0B73" w:rsidRDefault="00AD0B73" w:rsidP="00AD0B73">
      <w:pPr>
        <w:rPr>
          <w:b/>
          <w:bCs/>
        </w:rPr>
      </w:pPr>
    </w:p>
    <w:p w14:paraId="39780CB5" w14:textId="77777777" w:rsidR="008075EE" w:rsidRDefault="008075EE" w:rsidP="008075EE">
      <w:pPr>
        <w:rPr>
          <w:b/>
          <w:bCs/>
        </w:rPr>
      </w:pPr>
      <w:r>
        <w:rPr>
          <w:b/>
          <w:bCs/>
        </w:rPr>
        <w:t xml:space="preserve">Project </w:t>
      </w:r>
      <w:r>
        <w:rPr>
          <w:b/>
          <w:bCs/>
        </w:rPr>
        <w:t>1. Resolvent analysis of supercritical fluids with heat transfer</w:t>
      </w:r>
    </w:p>
    <w:p w14:paraId="00C86020" w14:textId="4D8C42C9" w:rsidR="00AD0B73" w:rsidRDefault="00AD0B73" w:rsidP="00AD0B73">
      <w:pPr>
        <w:rPr>
          <w:b/>
          <w:bCs/>
        </w:rPr>
      </w:pPr>
    </w:p>
    <w:p w14:paraId="5460A6BD" w14:textId="4EAC716B" w:rsidR="00AD0B73" w:rsidRDefault="00AD0B73" w:rsidP="00AD0B73">
      <w:r w:rsidRPr="00AD0B73">
        <w:rPr>
          <w:b/>
          <w:bCs/>
        </w:rPr>
        <w:t xml:space="preserve">Supervisor: Dr Benjamin </w:t>
      </w:r>
      <w:proofErr w:type="spellStart"/>
      <w:r w:rsidRPr="00AD0B73">
        <w:rPr>
          <w:b/>
          <w:bCs/>
        </w:rPr>
        <w:t>Bugeat</w:t>
      </w:r>
      <w:proofErr w:type="spellEnd"/>
      <w:r>
        <w:t xml:space="preserve"> - </w:t>
      </w:r>
      <w:hyperlink r:id="rId4">
        <w:r>
          <w:rPr>
            <w:rStyle w:val="Hyperlink"/>
            <w:rFonts w:eastAsia="Calibri"/>
            <w:kern w:val="0"/>
            <w:sz w:val="22"/>
            <w:szCs w:val="22"/>
            <w:lang w:eastAsia="en-US" w:bidi="ar-SA"/>
          </w:rPr>
          <w:t>bb283@le.ac.uk</w:t>
        </w:r>
      </w:hyperlink>
      <w:r>
        <w:t xml:space="preserve"> </w:t>
      </w:r>
    </w:p>
    <w:p w14:paraId="1AE98451" w14:textId="77777777" w:rsidR="00AD0B73" w:rsidRDefault="00AD0B73" w:rsidP="00AD0B73">
      <w:pPr>
        <w:spacing w:line="276" w:lineRule="auto"/>
        <w:rPr>
          <w:rFonts w:eastAsia="Calibri"/>
        </w:rPr>
      </w:pPr>
    </w:p>
    <w:tbl>
      <w:tblPr>
        <w:tblW w:w="9016" w:type="dxa"/>
        <w:tblInd w:w="-113" w:type="dxa"/>
        <w:tblLayout w:type="fixed"/>
        <w:tblLook w:val="04A0" w:firstRow="1" w:lastRow="0" w:firstColumn="1" w:lastColumn="0" w:noHBand="0" w:noVBand="1"/>
      </w:tblPr>
      <w:tblGrid>
        <w:gridCol w:w="1979"/>
        <w:gridCol w:w="421"/>
        <w:gridCol w:w="6616"/>
      </w:tblGrid>
      <w:tr w:rsidR="00AD0B73" w:rsidRPr="00AD0B73" w14:paraId="6BFDAAA9" w14:textId="77777777" w:rsidTr="00630C82">
        <w:tc>
          <w:tcPr>
            <w:tcW w:w="1979" w:type="dxa"/>
            <w:shd w:val="clear" w:color="auto" w:fill="F2F2F2" w:themeFill="background1" w:themeFillShade="F2"/>
          </w:tcPr>
          <w:p w14:paraId="0B85E13C" w14:textId="77777777" w:rsidR="00AD0B73" w:rsidRPr="00AD0B73" w:rsidRDefault="00AD0B73" w:rsidP="00630C82">
            <w:pPr>
              <w:spacing w:line="276" w:lineRule="auto"/>
              <w:rPr>
                <w:b/>
              </w:rPr>
            </w:pPr>
            <w:r w:rsidRPr="00AD0B73">
              <w:rPr>
                <w:rFonts w:eastAsia="Calibri"/>
                <w:b/>
                <w:kern w:val="0"/>
                <w:sz w:val="22"/>
                <w:szCs w:val="22"/>
                <w:lang w:eastAsia="en-US" w:bidi="ar-SA"/>
              </w:rPr>
              <w:t>Project Title</w:t>
            </w:r>
          </w:p>
        </w:tc>
        <w:tc>
          <w:tcPr>
            <w:tcW w:w="7037" w:type="dxa"/>
            <w:gridSpan w:val="2"/>
          </w:tcPr>
          <w:p w14:paraId="6915DD6B" w14:textId="77777777" w:rsidR="00AD0B73" w:rsidRPr="00AD0B73" w:rsidRDefault="00AD0B73" w:rsidP="00630C82">
            <w:pPr>
              <w:spacing w:line="276" w:lineRule="auto"/>
              <w:rPr>
                <w:rFonts w:eastAsia="Calibri"/>
                <w:kern w:val="0"/>
                <w:sz w:val="22"/>
                <w:szCs w:val="22"/>
                <w:lang w:eastAsia="en-US" w:bidi="ar-SA"/>
              </w:rPr>
            </w:pPr>
            <w:r w:rsidRPr="00AD0B73">
              <w:rPr>
                <w:rFonts w:eastAsia="Calibri"/>
                <w:kern w:val="0"/>
                <w:sz w:val="22"/>
                <w:szCs w:val="22"/>
                <w:lang w:eastAsia="en-US" w:bidi="ar-SA"/>
              </w:rPr>
              <w:t>Resolvent analysis of supercritical fluids with heat transfer</w:t>
            </w:r>
          </w:p>
          <w:p w14:paraId="2A1E6B0D" w14:textId="0D64A4E0" w:rsidR="00AD0B73" w:rsidRPr="00AD0B73" w:rsidRDefault="00AD0B73" w:rsidP="00630C82">
            <w:pPr>
              <w:spacing w:line="276" w:lineRule="auto"/>
              <w:rPr>
                <w:rFonts w:eastAsia="Calibri"/>
              </w:rPr>
            </w:pPr>
          </w:p>
        </w:tc>
      </w:tr>
      <w:tr w:rsidR="00AD0B73" w:rsidRPr="00AD0B73" w14:paraId="2179EA7D" w14:textId="77777777" w:rsidTr="00630C82">
        <w:tc>
          <w:tcPr>
            <w:tcW w:w="1979" w:type="dxa"/>
            <w:vMerge w:val="restart"/>
            <w:shd w:val="clear" w:color="auto" w:fill="F2F2F2" w:themeFill="background1" w:themeFillShade="F2"/>
          </w:tcPr>
          <w:p w14:paraId="7D890688" w14:textId="77777777" w:rsidR="00AD0B73" w:rsidRPr="00AD0B73" w:rsidRDefault="00AD0B73" w:rsidP="00630C82">
            <w:pPr>
              <w:spacing w:line="276" w:lineRule="auto"/>
              <w:rPr>
                <w:b/>
              </w:rPr>
            </w:pPr>
            <w:r w:rsidRPr="00AD0B73">
              <w:rPr>
                <w:rFonts w:eastAsia="Calibri"/>
                <w:b/>
                <w:kern w:val="0"/>
                <w:sz w:val="22"/>
                <w:szCs w:val="22"/>
                <w:lang w:eastAsia="en-US" w:bidi="ar-SA"/>
              </w:rPr>
              <w:t>Project Highlights:</w:t>
            </w:r>
          </w:p>
        </w:tc>
        <w:tc>
          <w:tcPr>
            <w:tcW w:w="421" w:type="dxa"/>
            <w:shd w:val="clear" w:color="auto" w:fill="F2F2F2" w:themeFill="background1" w:themeFillShade="F2"/>
          </w:tcPr>
          <w:p w14:paraId="0CCC9A67" w14:textId="77777777" w:rsidR="00AD0B73" w:rsidRPr="00AD0B73" w:rsidRDefault="00AD0B73" w:rsidP="00630C82">
            <w:pPr>
              <w:spacing w:line="276" w:lineRule="auto"/>
              <w:rPr>
                <w:rFonts w:eastAsia="Calibri"/>
              </w:rPr>
            </w:pPr>
            <w:r w:rsidRPr="00AD0B73">
              <w:rPr>
                <w:rFonts w:eastAsia="Calibri"/>
                <w:kern w:val="0"/>
                <w:sz w:val="22"/>
                <w:szCs w:val="22"/>
                <w:lang w:eastAsia="en-US" w:bidi="ar-SA"/>
              </w:rPr>
              <w:t>1.</w:t>
            </w:r>
          </w:p>
        </w:tc>
        <w:tc>
          <w:tcPr>
            <w:tcW w:w="6616" w:type="dxa"/>
          </w:tcPr>
          <w:p w14:paraId="204C12CC" w14:textId="77777777" w:rsidR="00AD0B73" w:rsidRPr="00AD0B73" w:rsidRDefault="00AD0B73" w:rsidP="00630C82">
            <w:pPr>
              <w:spacing w:line="276" w:lineRule="auto"/>
              <w:rPr>
                <w:rFonts w:eastAsia="Calibri"/>
              </w:rPr>
            </w:pPr>
            <w:r w:rsidRPr="00AD0B73">
              <w:rPr>
                <w:rFonts w:eastAsia="Calibri"/>
                <w:kern w:val="0"/>
                <w:sz w:val="22"/>
                <w:szCs w:val="22"/>
                <w:lang w:eastAsia="en-US" w:bidi="ar-SA"/>
              </w:rPr>
              <w:t>Apply resolvent analysis to gain new physical insights into how heat transfer affects instabilities in supercritical fluids</w:t>
            </w:r>
          </w:p>
        </w:tc>
      </w:tr>
      <w:tr w:rsidR="00AD0B73" w:rsidRPr="00AD0B73" w14:paraId="109A27A2" w14:textId="77777777" w:rsidTr="00630C82">
        <w:tc>
          <w:tcPr>
            <w:tcW w:w="1979" w:type="dxa"/>
            <w:vMerge/>
          </w:tcPr>
          <w:p w14:paraId="5D2570BC" w14:textId="77777777" w:rsidR="00AD0B73" w:rsidRPr="00AD0B73" w:rsidRDefault="00AD0B73" w:rsidP="00630C82">
            <w:pPr>
              <w:spacing w:line="276" w:lineRule="auto"/>
              <w:rPr>
                <w:b/>
              </w:rPr>
            </w:pPr>
          </w:p>
        </w:tc>
        <w:tc>
          <w:tcPr>
            <w:tcW w:w="421" w:type="dxa"/>
            <w:shd w:val="clear" w:color="auto" w:fill="F2F2F2" w:themeFill="background1" w:themeFillShade="F2"/>
          </w:tcPr>
          <w:p w14:paraId="0062C666" w14:textId="77777777" w:rsidR="00AD0B73" w:rsidRPr="00AD0B73" w:rsidRDefault="00AD0B73" w:rsidP="00630C82">
            <w:pPr>
              <w:spacing w:line="276" w:lineRule="auto"/>
              <w:rPr>
                <w:rFonts w:eastAsia="Calibri"/>
              </w:rPr>
            </w:pPr>
            <w:r w:rsidRPr="00AD0B73">
              <w:rPr>
                <w:rFonts w:eastAsia="Calibri"/>
                <w:kern w:val="0"/>
                <w:sz w:val="22"/>
                <w:szCs w:val="22"/>
                <w:lang w:eastAsia="en-US" w:bidi="ar-SA"/>
              </w:rPr>
              <w:t>2.</w:t>
            </w:r>
          </w:p>
        </w:tc>
        <w:tc>
          <w:tcPr>
            <w:tcW w:w="6616" w:type="dxa"/>
          </w:tcPr>
          <w:p w14:paraId="6861F252" w14:textId="77777777" w:rsidR="00AD0B73" w:rsidRPr="00AD0B73" w:rsidRDefault="00AD0B73" w:rsidP="00630C82">
            <w:pPr>
              <w:spacing w:line="276" w:lineRule="auto"/>
              <w:rPr>
                <w:rFonts w:eastAsia="Calibri"/>
              </w:rPr>
            </w:pPr>
            <w:r w:rsidRPr="00AD0B73">
              <w:rPr>
                <w:rFonts w:eastAsia="Calibri"/>
                <w:kern w:val="0"/>
                <w:sz w:val="22"/>
                <w:szCs w:val="22"/>
                <w:lang w:eastAsia="en-US" w:bidi="ar-SA"/>
              </w:rPr>
              <w:t>Unravel the role of buoyancy, driven by temperature differences, in the dynamics of supercritical fluids</w:t>
            </w:r>
          </w:p>
        </w:tc>
      </w:tr>
      <w:tr w:rsidR="00AD0B73" w:rsidRPr="00AD0B73" w14:paraId="3B754A1D" w14:textId="77777777" w:rsidTr="00630C82">
        <w:tc>
          <w:tcPr>
            <w:tcW w:w="1979" w:type="dxa"/>
            <w:vMerge/>
          </w:tcPr>
          <w:p w14:paraId="04EF2CAD" w14:textId="77777777" w:rsidR="00AD0B73" w:rsidRPr="00AD0B73" w:rsidRDefault="00AD0B73" w:rsidP="00630C82">
            <w:pPr>
              <w:spacing w:line="276" w:lineRule="auto"/>
              <w:rPr>
                <w:b/>
              </w:rPr>
            </w:pPr>
          </w:p>
        </w:tc>
        <w:tc>
          <w:tcPr>
            <w:tcW w:w="421" w:type="dxa"/>
            <w:shd w:val="clear" w:color="auto" w:fill="F2F2F2" w:themeFill="background1" w:themeFillShade="F2"/>
          </w:tcPr>
          <w:p w14:paraId="66918C83" w14:textId="77777777" w:rsidR="00AD0B73" w:rsidRPr="00AD0B73" w:rsidRDefault="00AD0B73" w:rsidP="00630C82">
            <w:pPr>
              <w:spacing w:line="276" w:lineRule="auto"/>
              <w:rPr>
                <w:rFonts w:eastAsia="Calibri"/>
              </w:rPr>
            </w:pPr>
            <w:r w:rsidRPr="00AD0B73">
              <w:rPr>
                <w:rFonts w:eastAsia="Calibri"/>
                <w:kern w:val="0"/>
                <w:sz w:val="22"/>
                <w:szCs w:val="22"/>
                <w:lang w:eastAsia="en-US" w:bidi="ar-SA"/>
              </w:rPr>
              <w:t>3.</w:t>
            </w:r>
          </w:p>
        </w:tc>
        <w:tc>
          <w:tcPr>
            <w:tcW w:w="6616" w:type="dxa"/>
          </w:tcPr>
          <w:p w14:paraId="78C8691C" w14:textId="77777777" w:rsidR="00AD0B73" w:rsidRPr="00AD0B73" w:rsidRDefault="00AD0B73" w:rsidP="00630C82">
            <w:pPr>
              <w:spacing w:line="276" w:lineRule="auto"/>
              <w:rPr>
                <w:rFonts w:eastAsia="Calibri"/>
              </w:rPr>
            </w:pPr>
            <w:r w:rsidRPr="00AD0B73">
              <w:rPr>
                <w:rFonts w:eastAsia="Calibri"/>
                <w:kern w:val="0"/>
                <w:sz w:val="22"/>
                <w:szCs w:val="22"/>
                <w:lang w:eastAsia="en-US" w:bidi="ar-SA"/>
              </w:rPr>
              <w:t>Develop new strategies to optimise heat transfer within the framework of resolvent analysis</w:t>
            </w:r>
          </w:p>
        </w:tc>
      </w:tr>
      <w:tr w:rsidR="00AD0B73" w:rsidRPr="00AD0B73" w14:paraId="786E9057" w14:textId="77777777" w:rsidTr="00630C82">
        <w:tc>
          <w:tcPr>
            <w:tcW w:w="9016" w:type="dxa"/>
            <w:gridSpan w:val="3"/>
            <w:shd w:val="clear" w:color="auto" w:fill="F2F2F2" w:themeFill="background1" w:themeFillShade="F2"/>
          </w:tcPr>
          <w:p w14:paraId="1DA90697" w14:textId="1C2D355B" w:rsidR="00AD0B73" w:rsidRPr="00AD0B73" w:rsidRDefault="00AD0B73" w:rsidP="00630C82">
            <w:pPr>
              <w:spacing w:line="276" w:lineRule="auto"/>
              <w:rPr>
                <w:rFonts w:eastAsia="Calibri"/>
              </w:rPr>
            </w:pPr>
            <w:r w:rsidRPr="00AD0B73">
              <w:rPr>
                <w:rFonts w:eastAsia="Calibri"/>
                <w:b/>
                <w:kern w:val="0"/>
                <w:sz w:val="22"/>
                <w:szCs w:val="22"/>
                <w:lang w:eastAsia="en-US" w:bidi="ar-SA"/>
              </w:rPr>
              <w:t>Project Overview</w:t>
            </w:r>
          </w:p>
        </w:tc>
      </w:tr>
      <w:tr w:rsidR="00AD0B73" w14:paraId="197506CD" w14:textId="77777777" w:rsidTr="00630C82">
        <w:tc>
          <w:tcPr>
            <w:tcW w:w="9016" w:type="dxa"/>
            <w:gridSpan w:val="3"/>
          </w:tcPr>
          <w:p w14:paraId="44A4505E" w14:textId="77777777" w:rsidR="00AD0B73" w:rsidRDefault="00AD0B73" w:rsidP="00630C82">
            <w:pPr>
              <w:spacing w:after="240"/>
              <w:jc w:val="both"/>
              <w:rPr>
                <w:rFonts w:eastAsia="Calibri"/>
                <w:color w:val="000000" w:themeColor="text1"/>
              </w:rPr>
            </w:pPr>
            <w:r>
              <w:rPr>
                <w:rFonts w:eastAsia="Calibri"/>
                <w:color w:val="000000" w:themeColor="text1"/>
                <w:kern w:val="0"/>
                <w:sz w:val="22"/>
                <w:szCs w:val="22"/>
                <w:lang w:eastAsia="en-US" w:bidi="ar-SA"/>
              </w:rPr>
              <w:t xml:space="preserve">Above certain conditions of temperature and pressure, fluids reach a supercritical state in which the distinction between liquid and gas no longer exists. Supercritical fluids are increasingly used in industrial applications such as power generation and rocket engines, in which they undergo significant heat transfer. Turbulence is usually desirable in these thermo-fluid systems as it promotes high heat transfer, which increases efficiency. Recent studies have shown that when a supercritical fluid is sufficiently heated, a new instability is observed (Ren 2019, </w:t>
            </w:r>
            <w:proofErr w:type="spellStart"/>
            <w:r>
              <w:rPr>
                <w:rFonts w:eastAsia="Calibri"/>
                <w:color w:val="000000" w:themeColor="text1"/>
                <w:kern w:val="0"/>
                <w:sz w:val="22"/>
                <w:szCs w:val="22"/>
                <w:lang w:eastAsia="en-US" w:bidi="ar-SA"/>
              </w:rPr>
              <w:t>Bugeat</w:t>
            </w:r>
            <w:proofErr w:type="spellEnd"/>
            <w:r>
              <w:rPr>
                <w:rFonts w:eastAsia="Calibri"/>
                <w:color w:val="000000" w:themeColor="text1"/>
                <w:kern w:val="0"/>
                <w:sz w:val="22"/>
                <w:szCs w:val="22"/>
                <w:lang w:eastAsia="en-US" w:bidi="ar-SA"/>
              </w:rPr>
              <w:t xml:space="preserve"> 2024).</w:t>
            </w:r>
          </w:p>
          <w:p w14:paraId="6EABFC3D" w14:textId="77777777" w:rsidR="00AD0B73" w:rsidRDefault="00AD0B73" w:rsidP="00630C82">
            <w:pPr>
              <w:spacing w:after="240"/>
              <w:jc w:val="both"/>
              <w:rPr>
                <w:rFonts w:eastAsia="Calibri" w:cstheme="minorHAnsi"/>
                <w:color w:val="000000" w:themeColor="text1"/>
              </w:rPr>
            </w:pPr>
            <w:r>
              <w:rPr>
                <w:rFonts w:eastAsia="Calibri" w:cstheme="minorHAnsi"/>
                <w:color w:val="000000" w:themeColor="text1"/>
                <w:kern w:val="0"/>
                <w:sz w:val="22"/>
                <w:szCs w:val="22"/>
                <w:lang w:eastAsia="en-US" w:bidi="ar-SA"/>
              </w:rPr>
              <w:t xml:space="preserve">This has opened exciting new perspectives for triggering turbulence in these fluids, but several fundamental questions remain open. A class of instabilities, called </w:t>
            </w:r>
            <w:r>
              <w:rPr>
                <w:rFonts w:eastAsia="Calibri" w:cstheme="minorHAnsi"/>
                <w:i/>
                <w:iCs/>
                <w:color w:val="000000" w:themeColor="text1"/>
                <w:kern w:val="0"/>
                <w:sz w:val="22"/>
                <w:szCs w:val="22"/>
                <w:lang w:eastAsia="en-US" w:bidi="ar-SA"/>
              </w:rPr>
              <w:t xml:space="preserve">non-modal instabilities, </w:t>
            </w:r>
            <w:r>
              <w:rPr>
                <w:rFonts w:eastAsia="Calibri" w:cstheme="minorHAnsi"/>
                <w:color w:val="000000" w:themeColor="text1"/>
                <w:kern w:val="0"/>
                <w:sz w:val="22"/>
                <w:szCs w:val="22"/>
                <w:lang w:eastAsia="en-US" w:bidi="ar-SA"/>
              </w:rPr>
              <w:t>is not fully understood: it is unclear which physical mechanisms are responsible for their growth and transition to turbulence. Furthermore, it is not known how buoyancy (the force resulting from temperature differences) affects their dynamics. Finally, no strategy has yet been proposed to leverage the unique dynamics of supercritical fluids in order to promote turbulence and high heat transfer.</w:t>
            </w:r>
          </w:p>
          <w:p w14:paraId="56F8A50C" w14:textId="77777777" w:rsidR="00AD0B73" w:rsidRDefault="00AD0B73" w:rsidP="00630C82">
            <w:pPr>
              <w:spacing w:after="240"/>
              <w:jc w:val="both"/>
              <w:rPr>
                <w:rFonts w:cstheme="minorHAnsi"/>
              </w:rPr>
            </w:pPr>
            <w:r>
              <w:rPr>
                <w:rFonts w:eastAsia="Calibri" w:cstheme="minorHAnsi"/>
                <w:kern w:val="0"/>
                <w:sz w:val="22"/>
                <w:szCs w:val="22"/>
                <w:lang w:eastAsia="en-US" w:bidi="ar-SA"/>
              </w:rPr>
              <w:t>This project will use resolvent analysis, a state-of-the-art computational technique, to address these questions. Resolvent analysis is based on linear analysis and identifies the optimal forcing and response that yield the largest energy growth in a flow. We propose to apply this method for the first time to a supercritical fluid in a flow where boundaries are maintained at different temperatures, thereby inducing heat transfer across the system. The structure of the optimal forcing and response will allow the prevailing mechanism to be identified. The role of buoyancy will be investigated by exploring a range of Richardson numbers.</w:t>
            </w:r>
          </w:p>
          <w:p w14:paraId="1BE0A4FD" w14:textId="77777777" w:rsidR="00AD0B73" w:rsidRDefault="00AD0B73" w:rsidP="00630C82">
            <w:pPr>
              <w:jc w:val="both"/>
              <w:rPr>
                <w:rFonts w:eastAsia="Calibri"/>
                <w:kern w:val="0"/>
                <w:sz w:val="22"/>
                <w:szCs w:val="22"/>
                <w:lang w:eastAsia="en-US" w:bidi="ar-SA"/>
              </w:rPr>
            </w:pPr>
            <w:r>
              <w:rPr>
                <w:rFonts w:eastAsia="Calibri"/>
                <w:kern w:val="0"/>
                <w:sz w:val="22"/>
                <w:szCs w:val="22"/>
                <w:lang w:eastAsia="en-US" w:bidi="ar-SA"/>
              </w:rPr>
              <w:t xml:space="preserve">Once these problems have been rationalised, a new formulation of resolvent analysis will be proposed in order to compute the optimal heat transfer rather than the optimal energy. Based on the very recent idea of </w:t>
            </w:r>
            <w:proofErr w:type="spellStart"/>
            <w:r>
              <w:rPr>
                <w:rFonts w:eastAsia="Calibri"/>
                <w:kern w:val="0"/>
                <w:sz w:val="22"/>
                <w:szCs w:val="22"/>
                <w:lang w:eastAsia="en-US" w:bidi="ar-SA"/>
              </w:rPr>
              <w:t>Alben</w:t>
            </w:r>
            <w:proofErr w:type="spellEnd"/>
            <w:r>
              <w:rPr>
                <w:rFonts w:eastAsia="Calibri"/>
                <w:kern w:val="0"/>
                <w:sz w:val="22"/>
                <w:szCs w:val="22"/>
                <w:lang w:eastAsia="en-US" w:bidi="ar-SA"/>
              </w:rPr>
              <w:t xml:space="preserve"> et al. (2024), this has the ground-breaking potential to identify novel optimal strategies to force a flow (e.g., determining the optimal location and shape of stirrers) that maximise heat transfer in a range of industrial flows.</w:t>
            </w:r>
          </w:p>
          <w:p w14:paraId="14263968" w14:textId="77777777" w:rsidR="00AD0B73" w:rsidRDefault="00AD0B73" w:rsidP="00630C82">
            <w:pPr>
              <w:spacing w:line="276" w:lineRule="auto"/>
              <w:jc w:val="center"/>
              <w:rPr>
                <w:rFonts w:cstheme="minorHAnsi"/>
                <w:b/>
              </w:rPr>
            </w:pPr>
          </w:p>
        </w:tc>
      </w:tr>
      <w:tr w:rsidR="00AD0B73" w14:paraId="4B00103B" w14:textId="77777777" w:rsidTr="00630C82">
        <w:tc>
          <w:tcPr>
            <w:tcW w:w="9016" w:type="dxa"/>
            <w:gridSpan w:val="3"/>
            <w:shd w:val="clear" w:color="auto" w:fill="F2F2F2" w:themeFill="background1" w:themeFillShade="F2"/>
          </w:tcPr>
          <w:p w14:paraId="3992ACE8" w14:textId="06DC4CFB" w:rsidR="00AD0B73" w:rsidRDefault="00AD0B73" w:rsidP="00630C82">
            <w:pPr>
              <w:spacing w:line="276" w:lineRule="auto"/>
              <w:rPr>
                <w:b/>
              </w:rPr>
            </w:pPr>
            <w:r>
              <w:rPr>
                <w:rFonts w:eastAsia="Calibri"/>
                <w:b/>
                <w:kern w:val="0"/>
                <w:sz w:val="22"/>
                <w:szCs w:val="22"/>
                <w:lang w:eastAsia="en-US" w:bidi="ar-SA"/>
              </w:rPr>
              <w:t xml:space="preserve">Methodology </w:t>
            </w:r>
          </w:p>
        </w:tc>
      </w:tr>
      <w:tr w:rsidR="00AD0B73" w14:paraId="5B6CB919" w14:textId="77777777" w:rsidTr="00630C82">
        <w:tc>
          <w:tcPr>
            <w:tcW w:w="9016" w:type="dxa"/>
            <w:gridSpan w:val="3"/>
          </w:tcPr>
          <w:p w14:paraId="5C7B7A01" w14:textId="77777777" w:rsidR="00AD0B73" w:rsidRDefault="00AD0B73" w:rsidP="00630C82">
            <w:pPr>
              <w:spacing w:after="160"/>
              <w:rPr>
                <w:rFonts w:eastAsia="Calibri"/>
                <w:kern w:val="0"/>
                <w:sz w:val="22"/>
                <w:szCs w:val="22"/>
                <w:lang w:eastAsia="en-US" w:bidi="ar-SA"/>
              </w:rPr>
            </w:pPr>
            <w:r>
              <w:rPr>
                <w:rFonts w:eastAsia="Calibri"/>
                <w:kern w:val="0"/>
                <w:sz w:val="22"/>
                <w:szCs w:val="22"/>
                <w:lang w:eastAsia="en-US" w:bidi="ar-SA"/>
              </w:rPr>
              <w:t xml:space="preserve">An in-house resolvent code, developed in a companion EPSRC project, will be readily available to the PhD candidate. This will allow the student to quickly obtain results and develop a strong grasp </w:t>
            </w:r>
            <w:r>
              <w:rPr>
                <w:rFonts w:eastAsia="Calibri"/>
                <w:kern w:val="0"/>
                <w:sz w:val="22"/>
                <w:szCs w:val="22"/>
                <w:lang w:eastAsia="en-US" w:bidi="ar-SA"/>
              </w:rPr>
              <w:lastRenderedPageBreak/>
              <w:t>of the technique and the underlying physical mechanisms. The student will later adapt this code to address specific research questions. Three work packages are proposed:</w:t>
            </w:r>
          </w:p>
          <w:p w14:paraId="080458A6" w14:textId="77777777" w:rsidR="00AD0B73" w:rsidRDefault="00AD0B73" w:rsidP="00630C82">
            <w:pPr>
              <w:spacing w:after="160"/>
              <w:rPr>
                <w:rFonts w:eastAsia="Calibri"/>
                <w:kern w:val="0"/>
                <w:sz w:val="22"/>
                <w:szCs w:val="22"/>
                <w:lang w:eastAsia="en-US" w:bidi="ar-SA"/>
              </w:rPr>
            </w:pPr>
            <w:r>
              <w:rPr>
                <w:rFonts w:eastAsia="Calibri"/>
                <w:b/>
                <w:bCs/>
                <w:kern w:val="0"/>
                <w:sz w:val="22"/>
                <w:szCs w:val="22"/>
                <w:lang w:eastAsia="en-US" w:bidi="ar-SA"/>
              </w:rPr>
              <w:t>WP1.</w:t>
            </w:r>
            <w:r>
              <w:rPr>
                <w:rFonts w:eastAsia="Calibri"/>
                <w:kern w:val="0"/>
                <w:sz w:val="22"/>
                <w:szCs w:val="22"/>
                <w:lang w:eastAsia="en-US" w:bidi="ar-SA"/>
              </w:rPr>
              <w:t xml:space="preserve"> The objective is to compute the optimal forcing and response in a supercritical fluid with varying heat input. Non-modal instabilities will be characterised by their energy growth across a range of frequencies, and new physics will be reported and analysed using mechanistic models.</w:t>
            </w:r>
          </w:p>
          <w:p w14:paraId="29C99B71" w14:textId="77777777" w:rsidR="00AD0B73" w:rsidRDefault="00AD0B73" w:rsidP="00630C82">
            <w:pPr>
              <w:spacing w:after="160"/>
              <w:rPr>
                <w:rFonts w:eastAsia="Calibri"/>
                <w:kern w:val="0"/>
                <w:sz w:val="22"/>
                <w:szCs w:val="22"/>
                <w:lang w:eastAsia="en-US" w:bidi="ar-SA"/>
              </w:rPr>
            </w:pPr>
            <w:r>
              <w:rPr>
                <w:rFonts w:eastAsia="Calibri"/>
                <w:b/>
                <w:bCs/>
                <w:kern w:val="0"/>
                <w:sz w:val="22"/>
                <w:szCs w:val="22"/>
                <w:lang w:eastAsia="en-US" w:bidi="ar-SA"/>
              </w:rPr>
              <w:t>WP2</w:t>
            </w:r>
            <w:r>
              <w:rPr>
                <w:rFonts w:eastAsia="Calibri"/>
                <w:kern w:val="0"/>
                <w:sz w:val="22"/>
                <w:szCs w:val="22"/>
                <w:lang w:eastAsia="en-US" w:bidi="ar-SA"/>
              </w:rPr>
              <w:t>: The effect of buoyancy on the previously computed optimal perturbation will be analysed. It is expected, but remains to be proven, that streaks (a fundamental non-modal instability) will be significantly distorted.</w:t>
            </w:r>
          </w:p>
          <w:p w14:paraId="365D0E4D" w14:textId="77777777" w:rsidR="00AD0B73" w:rsidRDefault="00AD0B73" w:rsidP="00630C82">
            <w:pPr>
              <w:spacing w:after="160"/>
              <w:rPr>
                <w:rFonts w:eastAsia="Calibri"/>
                <w:kern w:val="0"/>
                <w:sz w:val="22"/>
                <w:szCs w:val="22"/>
                <w:lang w:eastAsia="en-US" w:bidi="ar-SA"/>
              </w:rPr>
            </w:pPr>
            <w:r>
              <w:rPr>
                <w:rFonts w:eastAsia="Calibri"/>
                <w:b/>
                <w:bCs/>
                <w:kern w:val="0"/>
                <w:sz w:val="22"/>
                <w:szCs w:val="22"/>
                <w:lang w:eastAsia="en-US" w:bidi="ar-SA"/>
              </w:rPr>
              <w:t>WP3.</w:t>
            </w:r>
            <w:r>
              <w:rPr>
                <w:rFonts w:eastAsia="Calibri"/>
                <w:kern w:val="0"/>
                <w:sz w:val="22"/>
                <w:szCs w:val="22"/>
                <w:lang w:eastAsia="en-US" w:bidi="ar-SA"/>
              </w:rPr>
              <w:t xml:space="preserve"> A new mathematical framework (within resolvent analysis) that optimises heat transfer in flows will be proposed and tested.</w:t>
            </w:r>
          </w:p>
          <w:p w14:paraId="2AFA680E" w14:textId="77777777" w:rsidR="00AD0B73" w:rsidRDefault="00AD0B73" w:rsidP="00630C82">
            <w:pPr>
              <w:spacing w:line="276" w:lineRule="auto"/>
              <w:jc w:val="center"/>
              <w:rPr>
                <w:b/>
              </w:rPr>
            </w:pPr>
            <w:r>
              <w:rPr>
                <w:rFonts w:eastAsia="Calibri"/>
                <w:b/>
                <w:noProof/>
                <w:kern w:val="0"/>
                <w:sz w:val="22"/>
                <w:szCs w:val="22"/>
                <w:lang w:eastAsia="en-US" w:bidi="ar-SA"/>
              </w:rPr>
              <w:drawing>
                <wp:inline distT="0" distB="0" distL="0" distR="0" wp14:anchorId="6681E82B" wp14:editId="20B49BB4">
                  <wp:extent cx="3867150" cy="2895600"/>
                  <wp:effectExtent l="0" t="0" r="0" b="0"/>
                  <wp:docPr id="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pic:cNvPicPr>
                            <a:picLocks noChangeAspect="1" noChangeArrowheads="1"/>
                          </pic:cNvPicPr>
                        </pic:nvPicPr>
                        <pic:blipFill>
                          <a:blip r:embed="rId5"/>
                          <a:stretch>
                            <a:fillRect/>
                          </a:stretch>
                        </pic:blipFill>
                        <pic:spPr bwMode="auto">
                          <a:xfrm>
                            <a:off x="0" y="0"/>
                            <a:ext cx="3867150" cy="2895600"/>
                          </a:xfrm>
                          <a:prstGeom prst="rect">
                            <a:avLst/>
                          </a:prstGeom>
                        </pic:spPr>
                      </pic:pic>
                    </a:graphicData>
                  </a:graphic>
                </wp:inline>
              </w:drawing>
            </w:r>
          </w:p>
          <w:p w14:paraId="6376B0E2" w14:textId="77777777" w:rsidR="00AD0B73" w:rsidRDefault="00AD0B73" w:rsidP="00630C82">
            <w:pPr>
              <w:spacing w:line="276" w:lineRule="auto"/>
              <w:jc w:val="center"/>
              <w:rPr>
                <w:b/>
              </w:rPr>
            </w:pPr>
            <w:r>
              <w:rPr>
                <w:rFonts w:eastAsia="Calibri"/>
                <w:i/>
                <w:iCs/>
                <w:kern w:val="0"/>
                <w:sz w:val="22"/>
                <w:szCs w:val="22"/>
                <w:lang w:eastAsia="en-US" w:bidi="ar-SA"/>
              </w:rPr>
              <w:t>Three-dimensional optimal perturbations in a boundary layer obtained from resolvent analysis (</w:t>
            </w:r>
            <w:proofErr w:type="spellStart"/>
            <w:r>
              <w:rPr>
                <w:rFonts w:eastAsia="Calibri"/>
                <w:i/>
                <w:iCs/>
                <w:kern w:val="0"/>
                <w:sz w:val="22"/>
                <w:szCs w:val="22"/>
                <w:lang w:eastAsia="en-US" w:bidi="ar-SA"/>
              </w:rPr>
              <w:t>Bugeat</w:t>
            </w:r>
            <w:proofErr w:type="spellEnd"/>
            <w:r>
              <w:rPr>
                <w:rFonts w:eastAsia="Calibri"/>
                <w:i/>
                <w:iCs/>
                <w:kern w:val="0"/>
                <w:sz w:val="22"/>
                <w:szCs w:val="22"/>
                <w:lang w:eastAsia="en-US" w:bidi="ar-SA"/>
              </w:rPr>
              <w:t xml:space="preserve"> et al. 2019)</w:t>
            </w:r>
          </w:p>
        </w:tc>
      </w:tr>
      <w:tr w:rsidR="00AD0B73" w14:paraId="03C4B9D8" w14:textId="77777777" w:rsidTr="00630C82">
        <w:tc>
          <w:tcPr>
            <w:tcW w:w="1979" w:type="dxa"/>
            <w:shd w:val="clear" w:color="auto" w:fill="F2F2F2" w:themeFill="background1" w:themeFillShade="F2"/>
          </w:tcPr>
          <w:p w14:paraId="7505DC9B" w14:textId="77777777" w:rsidR="00AD0B73" w:rsidRDefault="00AD0B73" w:rsidP="00630C82">
            <w:pPr>
              <w:spacing w:line="276" w:lineRule="auto"/>
              <w:rPr>
                <w:b/>
              </w:rPr>
            </w:pPr>
            <w:r>
              <w:rPr>
                <w:rFonts w:eastAsia="Calibri"/>
                <w:b/>
                <w:kern w:val="0"/>
                <w:sz w:val="22"/>
                <w:szCs w:val="22"/>
                <w:lang w:eastAsia="en-US" w:bidi="ar-SA"/>
              </w:rPr>
              <w:lastRenderedPageBreak/>
              <w:t>Further Reading:</w:t>
            </w:r>
          </w:p>
          <w:p w14:paraId="7CED0F0E" w14:textId="4C81FD5E" w:rsidR="00AD0B73" w:rsidRDefault="00AD0B73" w:rsidP="00630C82">
            <w:pPr>
              <w:spacing w:line="276" w:lineRule="auto"/>
              <w:rPr>
                <w:b/>
              </w:rPr>
            </w:pPr>
          </w:p>
        </w:tc>
        <w:tc>
          <w:tcPr>
            <w:tcW w:w="7037" w:type="dxa"/>
            <w:gridSpan w:val="2"/>
          </w:tcPr>
          <w:p w14:paraId="2D6789E4" w14:textId="77777777" w:rsidR="00AD0B73" w:rsidRDefault="00AD0B73" w:rsidP="00630C82">
            <w:pPr>
              <w:spacing w:line="276" w:lineRule="auto"/>
              <w:rPr>
                <w:rFonts w:eastAsia="Calibri"/>
                <w:kern w:val="0"/>
                <w:sz w:val="22"/>
                <w:szCs w:val="22"/>
                <w:lang w:eastAsia="en-US" w:bidi="ar-SA"/>
              </w:rPr>
            </w:pPr>
            <w:r>
              <w:rPr>
                <w:rFonts w:eastAsia="Calibri"/>
                <w:kern w:val="0"/>
                <w:sz w:val="22"/>
                <w:szCs w:val="22"/>
                <w:lang w:eastAsia="en-US" w:bidi="ar-SA"/>
              </w:rPr>
              <w:t xml:space="preserve">Ren, J., </w:t>
            </w:r>
            <w:proofErr w:type="spellStart"/>
            <w:r>
              <w:rPr>
                <w:rFonts w:eastAsia="Calibri"/>
                <w:kern w:val="0"/>
                <w:sz w:val="22"/>
                <w:szCs w:val="22"/>
                <w:lang w:eastAsia="en-US" w:bidi="ar-SA"/>
              </w:rPr>
              <w:t>Marxen</w:t>
            </w:r>
            <w:proofErr w:type="spellEnd"/>
            <w:r>
              <w:rPr>
                <w:rFonts w:eastAsia="Calibri"/>
                <w:kern w:val="0"/>
                <w:sz w:val="22"/>
                <w:szCs w:val="22"/>
                <w:lang w:eastAsia="en-US" w:bidi="ar-SA"/>
              </w:rPr>
              <w:t xml:space="preserve">, O., &amp; </w:t>
            </w:r>
            <w:proofErr w:type="spellStart"/>
            <w:r>
              <w:rPr>
                <w:rFonts w:eastAsia="Calibri"/>
                <w:kern w:val="0"/>
                <w:sz w:val="22"/>
                <w:szCs w:val="22"/>
                <w:lang w:eastAsia="en-US" w:bidi="ar-SA"/>
              </w:rPr>
              <w:t>Pecnik</w:t>
            </w:r>
            <w:proofErr w:type="spellEnd"/>
            <w:r>
              <w:rPr>
                <w:rFonts w:eastAsia="Calibri"/>
                <w:kern w:val="0"/>
                <w:sz w:val="22"/>
                <w:szCs w:val="22"/>
                <w:lang w:eastAsia="en-US" w:bidi="ar-SA"/>
              </w:rPr>
              <w:t xml:space="preserve">, R. (2019). Boundary-layer stability of supercritical fluids in the vicinity of the </w:t>
            </w:r>
            <w:proofErr w:type="spellStart"/>
            <w:r>
              <w:rPr>
                <w:rFonts w:eastAsia="Calibri"/>
                <w:kern w:val="0"/>
                <w:sz w:val="22"/>
                <w:szCs w:val="22"/>
                <w:lang w:eastAsia="en-US" w:bidi="ar-SA"/>
              </w:rPr>
              <w:t>Widom</w:t>
            </w:r>
            <w:proofErr w:type="spellEnd"/>
            <w:r>
              <w:rPr>
                <w:rFonts w:eastAsia="Calibri"/>
                <w:kern w:val="0"/>
                <w:sz w:val="22"/>
                <w:szCs w:val="22"/>
                <w:lang w:eastAsia="en-US" w:bidi="ar-SA"/>
              </w:rPr>
              <w:t xml:space="preserve"> line. </w:t>
            </w:r>
            <w:r>
              <w:rPr>
                <w:rFonts w:eastAsia="Calibri"/>
                <w:i/>
                <w:iCs/>
                <w:kern w:val="0"/>
                <w:sz w:val="22"/>
                <w:szCs w:val="22"/>
                <w:lang w:eastAsia="en-US" w:bidi="ar-SA"/>
              </w:rPr>
              <w:t>Journal of Fluid Mechanics</w:t>
            </w:r>
            <w:r>
              <w:rPr>
                <w:rFonts w:eastAsia="Calibri"/>
                <w:kern w:val="0"/>
                <w:sz w:val="22"/>
                <w:szCs w:val="22"/>
                <w:lang w:eastAsia="en-US" w:bidi="ar-SA"/>
              </w:rPr>
              <w:t xml:space="preserve">, </w:t>
            </w:r>
            <w:r>
              <w:rPr>
                <w:rFonts w:eastAsia="Calibri"/>
                <w:i/>
                <w:iCs/>
                <w:kern w:val="0"/>
                <w:sz w:val="22"/>
                <w:szCs w:val="22"/>
                <w:lang w:eastAsia="en-US" w:bidi="ar-SA"/>
              </w:rPr>
              <w:t>871</w:t>
            </w:r>
            <w:r>
              <w:rPr>
                <w:rFonts w:eastAsia="Calibri"/>
                <w:kern w:val="0"/>
                <w:sz w:val="22"/>
                <w:szCs w:val="22"/>
                <w:lang w:eastAsia="en-US" w:bidi="ar-SA"/>
              </w:rPr>
              <w:t>, 831-864.</w:t>
            </w:r>
          </w:p>
          <w:p w14:paraId="7821C8C4" w14:textId="77777777" w:rsidR="00AD0B73" w:rsidRDefault="00AD0B73" w:rsidP="00630C82">
            <w:pPr>
              <w:spacing w:line="276" w:lineRule="auto"/>
              <w:rPr>
                <w:rFonts w:eastAsia="Calibri"/>
                <w:kern w:val="0"/>
                <w:sz w:val="22"/>
                <w:szCs w:val="22"/>
                <w:lang w:eastAsia="en-US" w:bidi="ar-SA"/>
              </w:rPr>
            </w:pPr>
          </w:p>
          <w:p w14:paraId="431FF858" w14:textId="77777777" w:rsidR="00AD0B73" w:rsidRDefault="00AD0B73" w:rsidP="00630C82">
            <w:pPr>
              <w:spacing w:line="276" w:lineRule="auto"/>
              <w:rPr>
                <w:rFonts w:eastAsia="Calibri"/>
                <w:kern w:val="0"/>
                <w:sz w:val="22"/>
                <w:szCs w:val="22"/>
                <w:lang w:eastAsia="en-US" w:bidi="ar-SA"/>
              </w:rPr>
            </w:pPr>
            <w:proofErr w:type="spellStart"/>
            <w:r>
              <w:rPr>
                <w:rFonts w:eastAsia="Calibri"/>
                <w:kern w:val="0"/>
                <w:sz w:val="22"/>
                <w:szCs w:val="22"/>
                <w:lang w:eastAsia="en-US" w:bidi="ar-SA"/>
              </w:rPr>
              <w:t>Bugeat</w:t>
            </w:r>
            <w:proofErr w:type="spellEnd"/>
            <w:r>
              <w:rPr>
                <w:rFonts w:eastAsia="Calibri"/>
                <w:kern w:val="0"/>
                <w:sz w:val="22"/>
                <w:szCs w:val="22"/>
                <w:lang w:eastAsia="en-US" w:bidi="ar-SA"/>
              </w:rPr>
              <w:t xml:space="preserve">, B., </w:t>
            </w:r>
            <w:proofErr w:type="spellStart"/>
            <w:r>
              <w:rPr>
                <w:rFonts w:eastAsia="Calibri"/>
                <w:kern w:val="0"/>
                <w:sz w:val="22"/>
                <w:szCs w:val="22"/>
                <w:lang w:eastAsia="en-US" w:bidi="ar-SA"/>
              </w:rPr>
              <w:t>Boldini</w:t>
            </w:r>
            <w:proofErr w:type="spellEnd"/>
            <w:r>
              <w:rPr>
                <w:rFonts w:eastAsia="Calibri"/>
                <w:kern w:val="0"/>
                <w:sz w:val="22"/>
                <w:szCs w:val="22"/>
                <w:lang w:eastAsia="en-US" w:bidi="ar-SA"/>
              </w:rPr>
              <w:t xml:space="preserve">, P. C., Hasan, A. M., &amp; </w:t>
            </w:r>
            <w:proofErr w:type="spellStart"/>
            <w:r>
              <w:rPr>
                <w:rFonts w:eastAsia="Calibri"/>
                <w:kern w:val="0"/>
                <w:sz w:val="22"/>
                <w:szCs w:val="22"/>
                <w:lang w:eastAsia="en-US" w:bidi="ar-SA"/>
              </w:rPr>
              <w:t>Pecnik</w:t>
            </w:r>
            <w:proofErr w:type="spellEnd"/>
            <w:r>
              <w:rPr>
                <w:rFonts w:eastAsia="Calibri"/>
                <w:kern w:val="0"/>
                <w:sz w:val="22"/>
                <w:szCs w:val="22"/>
                <w:lang w:eastAsia="en-US" w:bidi="ar-SA"/>
              </w:rPr>
              <w:t xml:space="preserve">, R. (2024). Instability in strongly stratified plane Couette flow with application to supercritical fluids. </w:t>
            </w:r>
            <w:r>
              <w:rPr>
                <w:rFonts w:eastAsia="Calibri"/>
                <w:i/>
                <w:iCs/>
                <w:kern w:val="0"/>
                <w:sz w:val="22"/>
                <w:szCs w:val="22"/>
                <w:lang w:eastAsia="en-US" w:bidi="ar-SA"/>
              </w:rPr>
              <w:t>Journal of fluid mechanics</w:t>
            </w:r>
            <w:r>
              <w:rPr>
                <w:rFonts w:eastAsia="Calibri"/>
                <w:kern w:val="0"/>
                <w:sz w:val="22"/>
                <w:szCs w:val="22"/>
                <w:lang w:eastAsia="en-US" w:bidi="ar-SA"/>
              </w:rPr>
              <w:t xml:space="preserve">, </w:t>
            </w:r>
            <w:r>
              <w:rPr>
                <w:rFonts w:eastAsia="Calibri"/>
                <w:i/>
                <w:iCs/>
                <w:kern w:val="0"/>
                <w:sz w:val="22"/>
                <w:szCs w:val="22"/>
                <w:lang w:eastAsia="en-US" w:bidi="ar-SA"/>
              </w:rPr>
              <w:t>984</w:t>
            </w:r>
            <w:r>
              <w:rPr>
                <w:rFonts w:eastAsia="Calibri"/>
                <w:kern w:val="0"/>
                <w:sz w:val="22"/>
                <w:szCs w:val="22"/>
                <w:lang w:eastAsia="en-US" w:bidi="ar-SA"/>
              </w:rPr>
              <w:t>, A31.</w:t>
            </w:r>
          </w:p>
          <w:p w14:paraId="3C872C99" w14:textId="77777777" w:rsidR="00AD0B73" w:rsidRDefault="00AD0B73" w:rsidP="00630C82">
            <w:pPr>
              <w:spacing w:line="276" w:lineRule="auto"/>
              <w:rPr>
                <w:rFonts w:eastAsia="Calibri"/>
                <w:kern w:val="0"/>
                <w:sz w:val="22"/>
                <w:szCs w:val="22"/>
                <w:lang w:eastAsia="en-US" w:bidi="ar-SA"/>
              </w:rPr>
            </w:pPr>
          </w:p>
          <w:p w14:paraId="28C6C140" w14:textId="77777777" w:rsidR="00AD0B73" w:rsidRDefault="00AD0B73" w:rsidP="00630C82">
            <w:pPr>
              <w:spacing w:line="276" w:lineRule="auto"/>
              <w:rPr>
                <w:rFonts w:eastAsia="Calibri"/>
                <w:kern w:val="0"/>
                <w:sz w:val="22"/>
                <w:szCs w:val="22"/>
                <w:lang w:eastAsia="en-US" w:bidi="ar-SA"/>
              </w:rPr>
            </w:pPr>
            <w:proofErr w:type="spellStart"/>
            <w:r>
              <w:rPr>
                <w:rFonts w:eastAsia="Calibri"/>
                <w:kern w:val="0"/>
                <w:sz w:val="22"/>
                <w:szCs w:val="22"/>
                <w:lang w:eastAsia="en-US" w:bidi="ar-SA"/>
              </w:rPr>
              <w:t>Alben</w:t>
            </w:r>
            <w:proofErr w:type="spellEnd"/>
            <w:r>
              <w:rPr>
                <w:rFonts w:eastAsia="Calibri"/>
                <w:kern w:val="0"/>
                <w:sz w:val="22"/>
                <w:szCs w:val="22"/>
                <w:lang w:eastAsia="en-US" w:bidi="ar-SA"/>
              </w:rPr>
              <w:t xml:space="preserve">, S., </w:t>
            </w:r>
            <w:proofErr w:type="spellStart"/>
            <w:r>
              <w:rPr>
                <w:rFonts w:eastAsia="Calibri"/>
                <w:kern w:val="0"/>
                <w:sz w:val="22"/>
                <w:szCs w:val="22"/>
                <w:lang w:eastAsia="en-US" w:bidi="ar-SA"/>
              </w:rPr>
              <w:t>Prabala</w:t>
            </w:r>
            <w:proofErr w:type="spellEnd"/>
            <w:r>
              <w:rPr>
                <w:rFonts w:eastAsia="Calibri"/>
                <w:kern w:val="0"/>
                <w:sz w:val="22"/>
                <w:szCs w:val="22"/>
                <w:lang w:eastAsia="en-US" w:bidi="ar-SA"/>
              </w:rPr>
              <w:t xml:space="preserve">, S., &amp; </w:t>
            </w:r>
            <w:proofErr w:type="spellStart"/>
            <w:r>
              <w:rPr>
                <w:rFonts w:eastAsia="Calibri"/>
                <w:kern w:val="0"/>
                <w:sz w:val="22"/>
                <w:szCs w:val="22"/>
                <w:lang w:eastAsia="en-US" w:bidi="ar-SA"/>
              </w:rPr>
              <w:t>Godek</w:t>
            </w:r>
            <w:proofErr w:type="spellEnd"/>
            <w:r>
              <w:rPr>
                <w:rFonts w:eastAsia="Calibri"/>
                <w:kern w:val="0"/>
                <w:sz w:val="22"/>
                <w:szCs w:val="22"/>
                <w:lang w:eastAsia="en-US" w:bidi="ar-SA"/>
              </w:rPr>
              <w:t xml:space="preserve">, M. (2024). Enhancing heat transfer in a channel with unsteady flow perturbations. </w:t>
            </w:r>
            <w:r>
              <w:rPr>
                <w:rFonts w:eastAsia="Calibri"/>
                <w:i/>
                <w:iCs/>
                <w:kern w:val="0"/>
                <w:sz w:val="22"/>
                <w:szCs w:val="22"/>
                <w:lang w:eastAsia="en-US" w:bidi="ar-SA"/>
              </w:rPr>
              <w:t>Physical Review Fluids</w:t>
            </w:r>
            <w:r>
              <w:rPr>
                <w:rFonts w:eastAsia="Calibri"/>
                <w:kern w:val="0"/>
                <w:sz w:val="22"/>
                <w:szCs w:val="22"/>
                <w:lang w:eastAsia="en-US" w:bidi="ar-SA"/>
              </w:rPr>
              <w:t xml:space="preserve">, </w:t>
            </w:r>
            <w:r>
              <w:rPr>
                <w:rFonts w:eastAsia="Calibri"/>
                <w:i/>
                <w:iCs/>
                <w:kern w:val="0"/>
                <w:sz w:val="22"/>
                <w:szCs w:val="22"/>
                <w:lang w:eastAsia="en-US" w:bidi="ar-SA"/>
              </w:rPr>
              <w:t>9</w:t>
            </w:r>
            <w:r>
              <w:rPr>
                <w:rFonts w:eastAsia="Calibri"/>
                <w:kern w:val="0"/>
                <w:sz w:val="22"/>
                <w:szCs w:val="22"/>
                <w:lang w:eastAsia="en-US" w:bidi="ar-SA"/>
              </w:rPr>
              <w:t>(12), 124503.</w:t>
            </w:r>
          </w:p>
          <w:p w14:paraId="6BF07BA8" w14:textId="77777777" w:rsidR="00AD0B73" w:rsidRDefault="00AD0B73" w:rsidP="00630C82">
            <w:pPr>
              <w:spacing w:line="276" w:lineRule="auto"/>
              <w:rPr>
                <w:b/>
              </w:rPr>
            </w:pPr>
          </w:p>
        </w:tc>
      </w:tr>
    </w:tbl>
    <w:p w14:paraId="76669061" w14:textId="4887EFB6" w:rsidR="008D3692" w:rsidRDefault="008D3692"/>
    <w:sectPr w:rsidR="008D3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CJK SC">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73"/>
    <w:rsid w:val="008075EE"/>
    <w:rsid w:val="008D3692"/>
    <w:rsid w:val="00A3632B"/>
    <w:rsid w:val="00AD0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7DDF"/>
  <w15:chartTrackingRefBased/>
  <w15:docId w15:val="{51CCE7A1-1C2B-443A-9706-E70A3215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73"/>
    <w:pPr>
      <w:suppressAutoHyphens/>
      <w:spacing w:after="0" w:line="240" w:lineRule="auto"/>
    </w:pPr>
    <w:rPr>
      <w:rFonts w:ascii="Calibri" w:eastAsia="Noto Serif CJK SC" w:hAnsi="Calibri" w:cs="Free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0B7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bb283@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Karen L.</dc:creator>
  <cp:keywords/>
  <dc:description/>
  <cp:lastModifiedBy>White, Karen L.</cp:lastModifiedBy>
  <cp:revision>2</cp:revision>
  <dcterms:created xsi:type="dcterms:W3CDTF">2025-08-06T10:20:00Z</dcterms:created>
  <dcterms:modified xsi:type="dcterms:W3CDTF">2025-08-06T10:28:00Z</dcterms:modified>
</cp:coreProperties>
</file>