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7ECB" w14:textId="77777777" w:rsidR="00946C97" w:rsidRPr="00A72AB5" w:rsidRDefault="00946C97" w:rsidP="004C58A2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Hlk201317174"/>
      <w:r w:rsidRPr="00A72AB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University of Leicester </w:t>
      </w:r>
    </w:p>
    <w:p w14:paraId="785B328B" w14:textId="77777777" w:rsidR="00946C97" w:rsidRPr="00A72AB5" w:rsidRDefault="00946C97" w:rsidP="004C58A2">
      <w:pPr>
        <w:spacing w:after="0"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A72AB5">
        <w:rPr>
          <w:rFonts w:asciiTheme="minorHAnsi" w:hAnsiTheme="minorHAnsi" w:cstheme="minorHAnsi"/>
          <w:color w:val="auto"/>
          <w:sz w:val="28"/>
          <w:szCs w:val="28"/>
        </w:rPr>
        <w:t>British Heart Foundation Centre of Research Excellence</w:t>
      </w:r>
    </w:p>
    <w:p w14:paraId="5DAF07FD" w14:textId="77777777" w:rsidR="00946C97" w:rsidRPr="00A72AB5" w:rsidRDefault="00946C97" w:rsidP="00946C97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72AB5">
        <w:rPr>
          <w:rFonts w:asciiTheme="minorHAnsi" w:hAnsiTheme="minorHAnsi" w:cstheme="minorHAnsi"/>
          <w:color w:val="auto"/>
          <w:sz w:val="28"/>
          <w:szCs w:val="28"/>
        </w:rPr>
        <w:t>PhD studentship</w:t>
      </w:r>
    </w:p>
    <w:bookmarkEnd w:id="0"/>
    <w:p w14:paraId="482D9E85" w14:textId="77777777" w:rsidR="00AE49DF" w:rsidRPr="00BD5F21" w:rsidRDefault="00AE49DF" w:rsidP="00066C81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1F075E5A" w14:textId="77777777" w:rsidR="00066C81" w:rsidRDefault="00066C81" w:rsidP="00066C81">
      <w:pPr>
        <w:spacing w:after="0" w:line="240" w:lineRule="auto"/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066C81" w:rsidRPr="00066C81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First Supervisor</w:t>
            </w:r>
          </w:p>
        </w:tc>
        <w:tc>
          <w:tcPr>
            <w:tcW w:w="5807" w:type="dxa"/>
          </w:tcPr>
          <w:p w14:paraId="4984ADF3" w14:textId="4EA43AB8" w:rsidR="00066C81" w:rsidRPr="00066C81" w:rsidRDefault="00C2075F" w:rsidP="00066C81">
            <w:r>
              <w:t>Dr Tom Webb</w:t>
            </w:r>
          </w:p>
        </w:tc>
      </w:tr>
      <w:tr w:rsidR="00066C81" w:rsidRPr="00066C81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066C81" w:rsidRDefault="00066C81" w:rsidP="00066C81">
            <w:pPr>
              <w:rPr>
                <w:b/>
              </w:rPr>
            </w:pPr>
            <w:r w:rsidRPr="00066C81">
              <w:rPr>
                <w:b/>
              </w:rPr>
              <w:t>School/Department</w:t>
            </w:r>
          </w:p>
        </w:tc>
        <w:tc>
          <w:tcPr>
            <w:tcW w:w="5807" w:type="dxa"/>
          </w:tcPr>
          <w:p w14:paraId="0B7A4BF6" w14:textId="25447B1F" w:rsidR="00066C81" w:rsidRPr="00066C81" w:rsidRDefault="00C2075F" w:rsidP="00066C81">
            <w:r>
              <w:t>Cardiovascular Sciences</w:t>
            </w:r>
          </w:p>
        </w:tc>
      </w:tr>
      <w:tr w:rsidR="003A7DAE" w:rsidRPr="00066C81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066C81" w:rsidRDefault="003A7DAE" w:rsidP="00066C81">
            <w:pPr>
              <w:rPr>
                <w:b/>
              </w:rPr>
            </w:pPr>
            <w:r w:rsidRPr="00066C81">
              <w:rPr>
                <w:b/>
              </w:rPr>
              <w:t xml:space="preserve">Email </w:t>
            </w:r>
          </w:p>
        </w:tc>
        <w:tc>
          <w:tcPr>
            <w:tcW w:w="5807" w:type="dxa"/>
          </w:tcPr>
          <w:p w14:paraId="28BF855B" w14:textId="21ABD426" w:rsidR="003A7DAE" w:rsidRPr="00066C81" w:rsidRDefault="00946C97" w:rsidP="00066C81">
            <w:hyperlink r:id="rId5" w:history="1">
              <w:r w:rsidRPr="00E5038E">
                <w:rPr>
                  <w:rStyle w:val="Hyperlink"/>
                </w:rPr>
                <w:t>Tw126@leicester.ac.uk</w:t>
              </w:r>
            </w:hyperlink>
            <w:r>
              <w:t xml:space="preserve"> </w:t>
            </w:r>
          </w:p>
        </w:tc>
      </w:tr>
    </w:tbl>
    <w:p w14:paraId="7C06D8EE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Second Supervisor</w:t>
            </w:r>
          </w:p>
        </w:tc>
        <w:tc>
          <w:tcPr>
            <w:tcW w:w="5778" w:type="dxa"/>
          </w:tcPr>
          <w:p w14:paraId="489D6B79" w14:textId="089EC7DA" w:rsidR="00066C81" w:rsidRDefault="00C2075F" w:rsidP="00ED69E6">
            <w:r>
              <w:t xml:space="preserve">Prof. </w:t>
            </w:r>
            <w:r w:rsidRPr="00C2075F">
              <w:t>Huiyu Zhou</w:t>
            </w:r>
          </w:p>
        </w:tc>
      </w:tr>
      <w:tr w:rsidR="00066C81" w14:paraId="04ACFF8B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1E46C14B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School/Department</w:t>
            </w:r>
          </w:p>
        </w:tc>
        <w:tc>
          <w:tcPr>
            <w:tcW w:w="5778" w:type="dxa"/>
          </w:tcPr>
          <w:p w14:paraId="1B7222C7" w14:textId="732984AB" w:rsidR="00066C81" w:rsidRDefault="00C2075F" w:rsidP="00ED69E6">
            <w:r>
              <w:t>Computing and Mathematical Sciences</w:t>
            </w:r>
          </w:p>
        </w:tc>
      </w:tr>
      <w:tr w:rsidR="003A7DAE" w14:paraId="1A47049C" w14:textId="77777777" w:rsidTr="0029160A">
        <w:tc>
          <w:tcPr>
            <w:tcW w:w="3256" w:type="dxa"/>
            <w:shd w:val="clear" w:color="auto" w:fill="F2F2F2" w:themeFill="background1" w:themeFillShade="F2"/>
          </w:tcPr>
          <w:p w14:paraId="7BD42367" w14:textId="77777777" w:rsidR="003A7DAE" w:rsidRDefault="003A7DAE" w:rsidP="00ED69E6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5778" w:type="dxa"/>
          </w:tcPr>
          <w:p w14:paraId="4D06D5DB" w14:textId="131E5923" w:rsidR="003A7DAE" w:rsidRDefault="00C2075F" w:rsidP="00ED69E6">
            <w:r w:rsidRPr="00C2075F">
              <w:t>hz143@leicester.ac.uk</w:t>
            </w:r>
          </w:p>
        </w:tc>
      </w:tr>
    </w:tbl>
    <w:p w14:paraId="3188842D" w14:textId="77777777" w:rsidR="00066C81" w:rsidRDefault="00066C81" w:rsidP="00066C81">
      <w:pPr>
        <w:spacing w:after="0" w:line="240" w:lineRule="auto"/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066C81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D52" w:rsidRDefault="00066C81" w:rsidP="00ED69E6">
            <w:pPr>
              <w:rPr>
                <w:b/>
              </w:rPr>
            </w:pPr>
            <w:r>
              <w:rPr>
                <w:b/>
              </w:rPr>
              <w:t>Additional Supervisor</w:t>
            </w:r>
          </w:p>
        </w:tc>
        <w:tc>
          <w:tcPr>
            <w:tcW w:w="5778" w:type="dxa"/>
          </w:tcPr>
          <w:p w14:paraId="04519482" w14:textId="4A2A9FCD" w:rsidR="00066C81" w:rsidRDefault="00C2075F" w:rsidP="00ED69E6">
            <w:r>
              <w:t>Dr David McVey</w:t>
            </w:r>
          </w:p>
        </w:tc>
      </w:tr>
      <w:tr w:rsidR="00C2075F" w14:paraId="22277607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BEBB5CB" w14:textId="77777777" w:rsidR="00C2075F" w:rsidRDefault="00C2075F" w:rsidP="00ED69E6">
            <w:pPr>
              <w:rPr>
                <w:b/>
              </w:rPr>
            </w:pPr>
          </w:p>
        </w:tc>
        <w:tc>
          <w:tcPr>
            <w:tcW w:w="5778" w:type="dxa"/>
          </w:tcPr>
          <w:p w14:paraId="7CAA08FB" w14:textId="54897100" w:rsidR="00C2075F" w:rsidRDefault="00C2075F" w:rsidP="00ED69E6">
            <w:r>
              <w:t>Dr Charles Solomon</w:t>
            </w:r>
          </w:p>
        </w:tc>
      </w:tr>
      <w:tr w:rsidR="00C2075F" w14:paraId="61922072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E31C8C0" w14:textId="77777777" w:rsidR="00C2075F" w:rsidRDefault="00C2075F" w:rsidP="00ED69E6">
            <w:pPr>
              <w:rPr>
                <w:b/>
              </w:rPr>
            </w:pPr>
          </w:p>
        </w:tc>
        <w:tc>
          <w:tcPr>
            <w:tcW w:w="5778" w:type="dxa"/>
          </w:tcPr>
          <w:p w14:paraId="46EF335C" w14:textId="427B09CF" w:rsidR="00C2075F" w:rsidRDefault="00C2075F" w:rsidP="00ED69E6">
            <w:r>
              <w:t>Dr Matthew Baxter (Oxford)</w:t>
            </w:r>
          </w:p>
        </w:tc>
      </w:tr>
    </w:tbl>
    <w:p w14:paraId="4806292A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2F660E25" w14:textId="77777777" w:rsidR="00066C81" w:rsidRPr="006B05B2" w:rsidRDefault="00066C81" w:rsidP="00066C81">
      <w:pPr>
        <w:spacing w:after="0" w:line="240" w:lineRule="auto"/>
        <w:rPr>
          <w:b/>
          <w:i/>
        </w:rPr>
      </w:pPr>
      <w:r w:rsidRPr="006B05B2">
        <w:rPr>
          <w:b/>
        </w:rPr>
        <w:t xml:space="preserve">Section 2 – </w:t>
      </w:r>
      <w:r w:rsidRPr="006B05B2">
        <w:rPr>
          <w:b/>
          <w:i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6C81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Default="00066C81" w:rsidP="00ED69E6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2AE8459A" w14:textId="77777777" w:rsidR="00066C81" w:rsidRPr="00B11D52" w:rsidRDefault="00066C81" w:rsidP="00ED69E6">
            <w:pPr>
              <w:rPr>
                <w:b/>
              </w:rPr>
            </w:pPr>
          </w:p>
        </w:tc>
        <w:tc>
          <w:tcPr>
            <w:tcW w:w="7036" w:type="dxa"/>
          </w:tcPr>
          <w:p w14:paraId="2BC2E11D" w14:textId="3F0E0014" w:rsidR="00066C81" w:rsidRDefault="001754C7" w:rsidP="00ED69E6">
            <w:r w:rsidRPr="001754C7">
              <w:t>Integrating Disease-Relevant Epigenomics and AI to Identify Functional Genetic Variants in Cardiovascular Disease</w:t>
            </w:r>
          </w:p>
        </w:tc>
      </w:tr>
      <w:tr w:rsidR="00066C81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Default="00066C81" w:rsidP="00066C81">
            <w:r w:rsidRPr="003A7DAE">
              <w:rPr>
                <w:b/>
                <w:highlight w:val="lightGray"/>
              </w:rPr>
              <w:t>Project Summary</w:t>
            </w:r>
            <w:r>
              <w:rPr>
                <w:b/>
              </w:rPr>
              <w:t xml:space="preserve"> </w:t>
            </w:r>
          </w:p>
        </w:tc>
      </w:tr>
      <w:tr w:rsidR="00066C81" w14:paraId="51FA071A" w14:textId="77777777" w:rsidTr="00ED69E6">
        <w:tc>
          <w:tcPr>
            <w:tcW w:w="9016" w:type="dxa"/>
            <w:gridSpan w:val="2"/>
          </w:tcPr>
          <w:p w14:paraId="181149AA" w14:textId="035EE38F" w:rsidR="006B4815" w:rsidRDefault="00EF1CFD" w:rsidP="00ED69E6">
            <w:pPr>
              <w:rPr>
                <w:bCs/>
              </w:rPr>
            </w:pPr>
            <w:r>
              <w:rPr>
                <w:bCs/>
              </w:rPr>
              <w:t xml:space="preserve">Cardiovascular diseases (CVD) are </w:t>
            </w:r>
            <w:r w:rsidR="0070001E">
              <w:rPr>
                <w:bCs/>
              </w:rPr>
              <w:t xml:space="preserve">a leading cause of death and morbidity </w:t>
            </w:r>
            <w:r w:rsidR="006B4815">
              <w:rPr>
                <w:bCs/>
              </w:rPr>
              <w:t>worldwide</w:t>
            </w:r>
            <w:r w:rsidR="0070001E">
              <w:rPr>
                <w:bCs/>
                <w:vertAlign w:val="superscript"/>
              </w:rPr>
              <w:t>1</w:t>
            </w:r>
            <w:r w:rsidR="006B4815">
              <w:rPr>
                <w:bCs/>
              </w:rPr>
              <w:t xml:space="preserve">, </w:t>
            </w:r>
            <w:r w:rsidR="006B4815" w:rsidRPr="006B4815">
              <w:rPr>
                <w:bCs/>
              </w:rPr>
              <w:t>placing a major burden on patients and healthcare systems. Improving outcomes requires a better understanding of the biological mechanisms and risk factors that drive disease</w:t>
            </w:r>
            <w:r w:rsidR="006B4815">
              <w:rPr>
                <w:bCs/>
              </w:rPr>
              <w:t xml:space="preserve">. </w:t>
            </w:r>
            <w:r w:rsidR="006B4815" w:rsidRPr="006B4815">
              <w:rPr>
                <w:bCs/>
              </w:rPr>
              <w:t>Genetic variation is a major contributor to CVD risk. While genome-wide association studies have identified specific risk loci</w:t>
            </w:r>
            <w:r w:rsidR="0070001E">
              <w:rPr>
                <w:bCs/>
                <w:vertAlign w:val="superscript"/>
              </w:rPr>
              <w:t>2-7</w:t>
            </w:r>
            <w:r w:rsidR="006B4815">
              <w:rPr>
                <w:bCs/>
              </w:rPr>
              <w:t xml:space="preserve">, </w:t>
            </w:r>
            <w:r w:rsidR="006B4815" w:rsidRPr="006B4815">
              <w:rPr>
                <w:bCs/>
              </w:rPr>
              <w:t xml:space="preserve">the challenge now lies in </w:t>
            </w:r>
            <w:r w:rsidR="006B4815">
              <w:rPr>
                <w:bCs/>
              </w:rPr>
              <w:t xml:space="preserve">identifying causal variants, affected genes and </w:t>
            </w:r>
            <w:r w:rsidR="006B4815" w:rsidRPr="006B4815">
              <w:rPr>
                <w:bCs/>
              </w:rPr>
              <w:t>understanding the molecular mechanisms through which these variants influence vascular cell behaviour.</w:t>
            </w:r>
          </w:p>
          <w:p w14:paraId="4430216A" w14:textId="77777777" w:rsidR="006B4815" w:rsidRDefault="006B4815" w:rsidP="00ED69E6">
            <w:pPr>
              <w:rPr>
                <w:bCs/>
              </w:rPr>
            </w:pPr>
          </w:p>
          <w:p w14:paraId="328179BD" w14:textId="6A43C02B" w:rsidR="00066C81" w:rsidRDefault="003311A9" w:rsidP="00ED69E6">
            <w:pPr>
              <w:rPr>
                <w:bCs/>
              </w:rPr>
            </w:pPr>
            <w:r>
              <w:rPr>
                <w:bCs/>
              </w:rPr>
              <w:t xml:space="preserve">CVD involves multiple cell types </w:t>
            </w:r>
            <w:r w:rsidR="00907C68">
              <w:rPr>
                <w:bCs/>
              </w:rPr>
              <w:t xml:space="preserve">(which may vary, </w:t>
            </w:r>
            <w:r>
              <w:rPr>
                <w:bCs/>
              </w:rPr>
              <w:t>depending on the disease</w:t>
            </w:r>
            <w:r w:rsidR="00907C68">
              <w:rPr>
                <w:bCs/>
              </w:rPr>
              <w:t>)</w:t>
            </w:r>
            <w:r w:rsidR="00FD372B">
              <w:rPr>
                <w:bCs/>
              </w:rPr>
              <w:t xml:space="preserve"> and it is likely that the effect of a causal variant only manifests under specific conditions, such as </w:t>
            </w:r>
            <w:r w:rsidR="00D064B8">
              <w:rPr>
                <w:bCs/>
              </w:rPr>
              <w:t>cell</w:t>
            </w:r>
            <w:r w:rsidR="00FD372B">
              <w:rPr>
                <w:bCs/>
              </w:rPr>
              <w:t xml:space="preserve"> type</w:t>
            </w:r>
            <w:r w:rsidR="00D064B8">
              <w:rPr>
                <w:bCs/>
              </w:rPr>
              <w:t>,</w:t>
            </w:r>
            <w:r w:rsidR="00FD372B">
              <w:rPr>
                <w:bCs/>
              </w:rPr>
              <w:t xml:space="preserve"> stress or environment signal. It is therefore challenging to translate the findings from GWAS into further mechanistic insights into how genetic variation contributes to CVD.</w:t>
            </w:r>
          </w:p>
          <w:p w14:paraId="0190B61E" w14:textId="77777777" w:rsidR="000A1DEA" w:rsidRDefault="000A1DEA" w:rsidP="00ED69E6">
            <w:pPr>
              <w:rPr>
                <w:bCs/>
              </w:rPr>
            </w:pPr>
          </w:p>
          <w:p w14:paraId="132F90A1" w14:textId="56C7F11C" w:rsidR="009D0ABC" w:rsidRDefault="009D0ABC" w:rsidP="00ED69E6">
            <w:pPr>
              <w:rPr>
                <w:bCs/>
              </w:rPr>
            </w:pPr>
            <w:r>
              <w:rPr>
                <w:bCs/>
              </w:rPr>
              <w:t xml:space="preserve">Artificial intelligence (AI) </w:t>
            </w:r>
            <w:r w:rsidR="006B4815">
              <w:rPr>
                <w:bCs/>
              </w:rPr>
              <w:t>offers powerful new tools to address this challenge</w:t>
            </w:r>
            <w:r>
              <w:rPr>
                <w:bCs/>
              </w:rPr>
              <w:t xml:space="preserve">. </w:t>
            </w:r>
            <w:r w:rsidR="006B4815" w:rsidRPr="006B4815">
              <w:rPr>
                <w:bCs/>
              </w:rPr>
              <w:t>AI models, including deep learning and large language models, are increasingly used in genomics to predict regulatory activity and prioritise candidate variants</w:t>
            </w:r>
            <w:r w:rsidR="00F92370" w:rsidRPr="00F92370">
              <w:rPr>
                <w:bCs/>
                <w:vertAlign w:val="superscript"/>
              </w:rPr>
              <w:t>8</w:t>
            </w:r>
            <w:r w:rsidR="002618A9">
              <w:rPr>
                <w:bCs/>
              </w:rPr>
              <w:t xml:space="preserve">, </w:t>
            </w:r>
            <w:r>
              <w:rPr>
                <w:bCs/>
              </w:rPr>
              <w:t xml:space="preserve">but these models require better data to perform optimally. </w:t>
            </w:r>
            <w:r w:rsidR="00C2075F">
              <w:rPr>
                <w:bCs/>
              </w:rPr>
              <w:t>T</w:t>
            </w:r>
            <w:r w:rsidR="00A536AA">
              <w:rPr>
                <w:bCs/>
              </w:rPr>
              <w:t>o reflect the complexity of CVD development and pathology, we need to generate data from disease-relevant cell types under disease-relevant conditions to maximise the accuracy of AI models and uncover likely candidate variants for further experimental validation.</w:t>
            </w:r>
          </w:p>
          <w:p w14:paraId="58874B7C" w14:textId="5967B095" w:rsidR="00A536AA" w:rsidRDefault="00A536AA" w:rsidP="00ED69E6">
            <w:pPr>
              <w:rPr>
                <w:bCs/>
              </w:rPr>
            </w:pPr>
          </w:p>
          <w:p w14:paraId="749471E4" w14:textId="7BABC830" w:rsidR="00552B76" w:rsidRDefault="00552B76" w:rsidP="00552B76">
            <w:pPr>
              <w:rPr>
                <w:bCs/>
              </w:rPr>
            </w:pPr>
            <w:r w:rsidRPr="00552B76">
              <w:rPr>
                <w:bCs/>
              </w:rPr>
              <w:t>This interdisciplinary project will generate epigenomic data from primary human vascular cells exposed to disease-associated conditions, including pro-inflammatory stimuli and flow. These data will be used to train and fine-tune AI models through transfer learning, enhancing their ability to predict variant function in a vascular context. The top candidate variants will then be prioritised for experimental validation using genome editing and other functional assays.</w:t>
            </w:r>
          </w:p>
          <w:p w14:paraId="14D35FB5" w14:textId="77777777" w:rsidR="00552B76" w:rsidRPr="00552B76" w:rsidRDefault="00552B76" w:rsidP="00552B76">
            <w:pPr>
              <w:rPr>
                <w:bCs/>
              </w:rPr>
            </w:pPr>
          </w:p>
          <w:p w14:paraId="7DE225E5" w14:textId="405305DC" w:rsidR="00552B76" w:rsidRPr="00552B76" w:rsidRDefault="00552B76" w:rsidP="00552B76">
            <w:pPr>
              <w:rPr>
                <w:bCs/>
              </w:rPr>
            </w:pPr>
            <w:r w:rsidRPr="00552B76">
              <w:rPr>
                <w:bCs/>
              </w:rPr>
              <w:t xml:space="preserve">The </w:t>
            </w:r>
            <w:r>
              <w:rPr>
                <w:bCs/>
              </w:rPr>
              <w:t>overall</w:t>
            </w:r>
            <w:r w:rsidRPr="00552B76">
              <w:rPr>
                <w:bCs/>
              </w:rPr>
              <w:t xml:space="preserve"> goal is to develop AI-enhanced frameworks for variant prioritisation that account for the dynamic, context-specific nature of vascular biology. This work has the potential to uncover novel mechanisms of CVD and inform future strategies for personalised risk prediction and therapeutic targeting.</w:t>
            </w:r>
          </w:p>
          <w:p w14:paraId="52EFBB87" w14:textId="77777777" w:rsidR="00066C81" w:rsidRDefault="00066C81" w:rsidP="00ED69E6">
            <w:pPr>
              <w:rPr>
                <w:b/>
              </w:rPr>
            </w:pPr>
          </w:p>
        </w:tc>
      </w:tr>
      <w:tr w:rsidR="003A7DAE" w14:paraId="703CFC4C" w14:textId="77777777" w:rsidTr="001C1AF7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0B4B97E" w14:textId="39FA6C4F" w:rsidR="003A7DAE" w:rsidRDefault="003A7DAE" w:rsidP="001C1AF7">
            <w:r>
              <w:rPr>
                <w:b/>
              </w:rPr>
              <w:lastRenderedPageBreak/>
              <w:t>References</w:t>
            </w:r>
          </w:p>
        </w:tc>
      </w:tr>
      <w:tr w:rsidR="003A7DAE" w14:paraId="6D3114C6" w14:textId="77777777" w:rsidTr="00ED69E6">
        <w:tc>
          <w:tcPr>
            <w:tcW w:w="9016" w:type="dxa"/>
            <w:gridSpan w:val="2"/>
          </w:tcPr>
          <w:p w14:paraId="17804839" w14:textId="77777777" w:rsidR="003A7DAE" w:rsidRDefault="003A7DAE" w:rsidP="00ED69E6">
            <w:pPr>
              <w:rPr>
                <w:b/>
              </w:rPr>
            </w:pPr>
          </w:p>
          <w:p w14:paraId="0DB3FD77" w14:textId="31837141" w:rsidR="0070001E" w:rsidRPr="0070001E" w:rsidRDefault="0070001E" w:rsidP="00077D4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0001E">
              <w:rPr>
                <w:bCs/>
              </w:rPr>
              <w:t xml:space="preserve">McAloon, C.J., Boylan, L.M., Hamborg, T. </w:t>
            </w:r>
            <w:r w:rsidR="001754C7" w:rsidRPr="001754C7">
              <w:rPr>
                <w:bCs/>
                <w:i/>
              </w:rPr>
              <w:t>et al</w:t>
            </w:r>
            <w:r w:rsidRPr="0070001E">
              <w:rPr>
                <w:bCs/>
              </w:rPr>
              <w:t>. 2016. The Changing Face of Cardiovascular Disease 2000-2012: An Analysis of the World Health Organisation Global Health Estimates Data. International Journal of Cardiology 224, 256-264.</w:t>
            </w:r>
          </w:p>
          <w:p w14:paraId="5DE67885" w14:textId="77777777" w:rsidR="000A1DEA" w:rsidRPr="000A1DEA" w:rsidRDefault="0070001E" w:rsidP="00077D4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0001E">
              <w:rPr>
                <w:bCs/>
              </w:rPr>
              <w:t>Schunkert, H., Erdmann, J. and Samani, N.J. 2010. Genetics of Myocardial Infarction: A Progress Report. European Heart Journal 31(8), 918-925.</w:t>
            </w:r>
          </w:p>
          <w:p w14:paraId="403E6385" w14:textId="052755C9" w:rsidR="000A1DEA" w:rsidRPr="000A1DEA" w:rsidRDefault="0070001E" w:rsidP="00077D4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A1DEA">
              <w:rPr>
                <w:bCs/>
              </w:rPr>
              <w:t xml:space="preserve">Schunkert, H., König, I.R., Kathiresan, S. </w:t>
            </w:r>
            <w:r w:rsidR="001754C7" w:rsidRPr="001754C7">
              <w:rPr>
                <w:bCs/>
                <w:i/>
              </w:rPr>
              <w:t>et al</w:t>
            </w:r>
            <w:r w:rsidRPr="000A1DEA">
              <w:rPr>
                <w:bCs/>
              </w:rPr>
              <w:t>. 2011. Large-Scale Association Analysis Identifies 13 New Susceptibility Loci for Coronary Artery Disease. Nature Genetics 43(4), 333-338.</w:t>
            </w:r>
          </w:p>
          <w:p w14:paraId="32692078" w14:textId="53213BF7" w:rsidR="000A1DEA" w:rsidRPr="000A1DEA" w:rsidRDefault="0070001E" w:rsidP="00077D4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A1DEA">
              <w:rPr>
                <w:bCs/>
              </w:rPr>
              <w:t xml:space="preserve">CARDIoGRAMplusC4D Consortium, </w:t>
            </w:r>
            <w:proofErr w:type="spellStart"/>
            <w:r w:rsidRPr="000A1DEA">
              <w:rPr>
                <w:bCs/>
              </w:rPr>
              <w:t>Deloukas</w:t>
            </w:r>
            <w:proofErr w:type="spellEnd"/>
            <w:r w:rsidRPr="000A1DEA">
              <w:rPr>
                <w:bCs/>
              </w:rPr>
              <w:t xml:space="preserve">, P., Kanoni, S. </w:t>
            </w:r>
            <w:r w:rsidR="001754C7" w:rsidRPr="001754C7">
              <w:rPr>
                <w:bCs/>
                <w:i/>
              </w:rPr>
              <w:t>et al</w:t>
            </w:r>
            <w:r w:rsidRPr="000A1DEA">
              <w:rPr>
                <w:bCs/>
              </w:rPr>
              <w:t>. 2013. Large-Scale Association Analysis Identifies New Risk Loci for Coronary Artery Disease. Nature Genetics 45(1), 25-33.</w:t>
            </w:r>
          </w:p>
          <w:p w14:paraId="612A44F9" w14:textId="38D92A80" w:rsidR="000A1DEA" w:rsidRPr="000A1DEA" w:rsidRDefault="0070001E" w:rsidP="00077D4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A1DEA">
              <w:rPr>
                <w:bCs/>
              </w:rPr>
              <w:t xml:space="preserve">Webb, T.R., Erdmann, J., Stirrups, K.E. </w:t>
            </w:r>
            <w:r w:rsidR="001754C7" w:rsidRPr="001754C7">
              <w:rPr>
                <w:bCs/>
                <w:i/>
              </w:rPr>
              <w:t>et al</w:t>
            </w:r>
            <w:r w:rsidRPr="000A1DEA">
              <w:rPr>
                <w:bCs/>
              </w:rPr>
              <w:t>. 2017. Systematic Evaluation of Pleiotropy Identifies 6 Further Loci Associated with Coronary Artery Disease. Journal of the American College of Cardiology 69(7), 823-836.</w:t>
            </w:r>
          </w:p>
          <w:p w14:paraId="7CE28325" w14:textId="02EC833B" w:rsidR="000A1DEA" w:rsidRPr="000A1DEA" w:rsidRDefault="0070001E" w:rsidP="00077D4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A1DEA">
              <w:rPr>
                <w:bCs/>
              </w:rPr>
              <w:t xml:space="preserve">Aragam, K.G., Jiang, T., Goel, A. </w:t>
            </w:r>
            <w:r w:rsidR="001754C7" w:rsidRPr="001754C7">
              <w:rPr>
                <w:bCs/>
                <w:i/>
              </w:rPr>
              <w:t>et al</w:t>
            </w:r>
            <w:r w:rsidRPr="000A1DEA">
              <w:rPr>
                <w:bCs/>
              </w:rPr>
              <w:t>. 2022. Discovery and systematic characterization of risk variants and genes for coronary artery disease in over a million participants. Nature Genetics 54(12), 1803-1815.</w:t>
            </w:r>
          </w:p>
          <w:p w14:paraId="26779BDF" w14:textId="49813DF9" w:rsidR="003A7DAE" w:rsidRPr="00077D48" w:rsidRDefault="0070001E" w:rsidP="00077D4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0A1DEA">
              <w:rPr>
                <w:bCs/>
              </w:rPr>
              <w:t>Tcheandjieu</w:t>
            </w:r>
            <w:proofErr w:type="spellEnd"/>
            <w:r w:rsidRPr="000A1DEA">
              <w:rPr>
                <w:bCs/>
              </w:rPr>
              <w:t xml:space="preserve">, C., Zhu, X., Hilliard, A.T. </w:t>
            </w:r>
            <w:r w:rsidR="001754C7" w:rsidRPr="001754C7">
              <w:rPr>
                <w:bCs/>
                <w:i/>
              </w:rPr>
              <w:t>et al</w:t>
            </w:r>
            <w:r w:rsidRPr="000A1DEA">
              <w:rPr>
                <w:bCs/>
              </w:rPr>
              <w:t>. 2022. Large-Scale Genome-Wide Association Study of Coronary Artery Disease in Genetically Diverse Populations. Nature Medicine 28(8), 1679-1692.</w:t>
            </w:r>
          </w:p>
          <w:p w14:paraId="41AAC77C" w14:textId="6841C05B" w:rsidR="001754C7" w:rsidRDefault="001754C7" w:rsidP="00077D4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Avsec, Z., Agarwal, V., Visentin, D. </w:t>
            </w:r>
            <w:r>
              <w:rPr>
                <w:bCs/>
                <w:i/>
                <w:iCs/>
              </w:rPr>
              <w:t xml:space="preserve">et al. </w:t>
            </w:r>
            <w:r>
              <w:rPr>
                <w:bCs/>
              </w:rPr>
              <w:t xml:space="preserve">2021. Effective Gene Expression Prediction from Sequence by Integrating Long-Range Interactions. </w:t>
            </w:r>
            <w:r>
              <w:rPr>
                <w:bCs/>
                <w:i/>
                <w:iCs/>
              </w:rPr>
              <w:t>Nature Methods</w:t>
            </w:r>
            <w:r>
              <w:rPr>
                <w:bCs/>
              </w:rPr>
              <w:t xml:space="preserve"> 18(10), 1196-1203.</w:t>
            </w:r>
          </w:p>
          <w:p w14:paraId="4CC99A4B" w14:textId="55A384DD" w:rsidR="003A7DAE" w:rsidRPr="00F92370" w:rsidRDefault="003A7DAE" w:rsidP="00F92370">
            <w:pPr>
              <w:ind w:left="360"/>
              <w:rPr>
                <w:b/>
              </w:rPr>
            </w:pPr>
          </w:p>
        </w:tc>
      </w:tr>
      <w:tr w:rsidR="000D3D42" w14:paraId="1AAB6C3B" w14:textId="77777777" w:rsidTr="00ED69E6">
        <w:tc>
          <w:tcPr>
            <w:tcW w:w="9016" w:type="dxa"/>
            <w:gridSpan w:val="2"/>
          </w:tcPr>
          <w:p w14:paraId="531EF32A" w14:textId="77777777" w:rsidR="000D3D42" w:rsidRDefault="00946C97" w:rsidP="00946C97">
            <w:pPr>
              <w:rPr>
                <w:b/>
                <w:bCs/>
              </w:rPr>
            </w:pPr>
            <w:r>
              <w:rPr>
                <w:b/>
                <w:bCs/>
              </w:rPr>
              <w:t>Specific entry requirements</w:t>
            </w:r>
          </w:p>
          <w:p w14:paraId="33D4BA22" w14:textId="77777777" w:rsidR="00946C97" w:rsidRDefault="00946C97" w:rsidP="00946C97">
            <w:pPr>
              <w:rPr>
                <w:b/>
                <w:bCs/>
              </w:rPr>
            </w:pPr>
          </w:p>
          <w:p w14:paraId="597FE61A" w14:textId="3D5079AA" w:rsidR="00946C97" w:rsidRPr="00946C97" w:rsidRDefault="00946C97" w:rsidP="00946C97">
            <w:pPr>
              <w:rPr>
                <w:b/>
                <w:bCs/>
              </w:rPr>
            </w:pPr>
            <w:r>
              <w:rPr>
                <w:rFonts w:ascii="Aptos" w:eastAsia="Times New Roman" w:hAnsi="Aptos"/>
                <w:sz w:val="24"/>
                <w:szCs w:val="24"/>
              </w:rPr>
              <w:t xml:space="preserve">UK 2:1 Bachelor degree </w:t>
            </w:r>
            <w:r>
              <w:rPr>
                <w:rFonts w:ascii="Aptos" w:eastAsia="Times New Roman" w:hAnsi="Aptos"/>
                <w:sz w:val="24"/>
                <w:szCs w:val="24"/>
              </w:rPr>
              <w:t xml:space="preserve">or overseas equivalent </w:t>
            </w:r>
            <w:r>
              <w:rPr>
                <w:rFonts w:ascii="Aptos" w:eastAsia="Times New Roman" w:hAnsi="Aptos"/>
                <w:sz w:val="24"/>
                <w:szCs w:val="24"/>
              </w:rPr>
              <w:t>in maths/computer science or biology/informatics</w:t>
            </w:r>
          </w:p>
        </w:tc>
      </w:tr>
    </w:tbl>
    <w:p w14:paraId="7FEF6135" w14:textId="77777777" w:rsidR="00066C81" w:rsidRDefault="00066C81" w:rsidP="00066C81">
      <w:pPr>
        <w:spacing w:after="0" w:line="240" w:lineRule="auto"/>
        <w:rPr>
          <w:b/>
          <w:u w:val="single"/>
        </w:rPr>
      </w:pPr>
    </w:p>
    <w:p w14:paraId="1D713C9F" w14:textId="77777777" w:rsidR="00066C81" w:rsidRPr="00BD5F21" w:rsidRDefault="00066C81" w:rsidP="00066C81">
      <w:pPr>
        <w:spacing w:after="0" w:line="240" w:lineRule="auto"/>
        <w:rPr>
          <w:b/>
          <w:bCs/>
        </w:rPr>
      </w:pPr>
    </w:p>
    <w:sectPr w:rsidR="00066C81" w:rsidRPr="00BD5F21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5F1"/>
    <w:multiLevelType w:val="hybridMultilevel"/>
    <w:tmpl w:val="C4FCAAC8"/>
    <w:lvl w:ilvl="0" w:tplc="691CF7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228C"/>
    <w:multiLevelType w:val="hybridMultilevel"/>
    <w:tmpl w:val="A55E8122"/>
    <w:lvl w:ilvl="0" w:tplc="7A5ED1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7BB0"/>
    <w:multiLevelType w:val="hybridMultilevel"/>
    <w:tmpl w:val="BD96ADA2"/>
    <w:lvl w:ilvl="0" w:tplc="AF62DD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0D40"/>
    <w:multiLevelType w:val="hybridMultilevel"/>
    <w:tmpl w:val="0F0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31C95"/>
    <w:rsid w:val="00066C81"/>
    <w:rsid w:val="00077D48"/>
    <w:rsid w:val="000A1DEA"/>
    <w:rsid w:val="000D3D42"/>
    <w:rsid w:val="001754C7"/>
    <w:rsid w:val="001C71FC"/>
    <w:rsid w:val="001E5791"/>
    <w:rsid w:val="00203CDE"/>
    <w:rsid w:val="00225CB1"/>
    <w:rsid w:val="002618A9"/>
    <w:rsid w:val="003311A9"/>
    <w:rsid w:val="003A7DAE"/>
    <w:rsid w:val="00552B76"/>
    <w:rsid w:val="0066692C"/>
    <w:rsid w:val="006B4815"/>
    <w:rsid w:val="006E2D25"/>
    <w:rsid w:val="006F46FB"/>
    <w:rsid w:val="0070001E"/>
    <w:rsid w:val="00727BC0"/>
    <w:rsid w:val="00731DE1"/>
    <w:rsid w:val="00734190"/>
    <w:rsid w:val="008869A9"/>
    <w:rsid w:val="00907C68"/>
    <w:rsid w:val="00946C97"/>
    <w:rsid w:val="009C47A8"/>
    <w:rsid w:val="009D0ABC"/>
    <w:rsid w:val="00A536AA"/>
    <w:rsid w:val="00AE49DF"/>
    <w:rsid w:val="00B5687D"/>
    <w:rsid w:val="00BA6F66"/>
    <w:rsid w:val="00BB70D0"/>
    <w:rsid w:val="00BD5F21"/>
    <w:rsid w:val="00C2075F"/>
    <w:rsid w:val="00C341FB"/>
    <w:rsid w:val="00D064B8"/>
    <w:rsid w:val="00DE6413"/>
    <w:rsid w:val="00EF1CFD"/>
    <w:rsid w:val="00F02017"/>
    <w:rsid w:val="00F21AEA"/>
    <w:rsid w:val="00F47B0F"/>
    <w:rsid w:val="00F92370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8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126@leic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2</cp:revision>
  <dcterms:created xsi:type="dcterms:W3CDTF">2025-06-20T12:09:00Z</dcterms:created>
  <dcterms:modified xsi:type="dcterms:W3CDTF">2025-06-20T12:09:00Z</dcterms:modified>
</cp:coreProperties>
</file>