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6DC4" w14:textId="77777777" w:rsidR="007C171E" w:rsidRPr="00A72AB5" w:rsidRDefault="007C171E" w:rsidP="004C58A2">
      <w:pPr>
        <w:spacing w:after="0" w:line="240" w:lineRule="auto"/>
        <w:rPr>
          <w:rFonts w:asciiTheme="minorHAnsi" w:hAnsiTheme="minorHAnsi" w:cstheme="minorHAnsi"/>
          <w:b/>
          <w:bCs/>
          <w:color w:val="auto"/>
          <w:sz w:val="28"/>
          <w:szCs w:val="28"/>
        </w:rPr>
      </w:pPr>
      <w:r w:rsidRPr="00A72AB5">
        <w:rPr>
          <w:rFonts w:asciiTheme="minorHAnsi" w:hAnsiTheme="minorHAnsi" w:cstheme="minorHAnsi"/>
          <w:b/>
          <w:bCs/>
          <w:color w:val="auto"/>
          <w:sz w:val="28"/>
          <w:szCs w:val="28"/>
        </w:rPr>
        <w:t xml:space="preserve">University of Leicester </w:t>
      </w:r>
    </w:p>
    <w:p w14:paraId="1F129953" w14:textId="77777777" w:rsidR="007C171E" w:rsidRPr="00A72AB5" w:rsidRDefault="007C171E" w:rsidP="004C58A2">
      <w:pPr>
        <w:spacing w:after="0" w:line="240" w:lineRule="auto"/>
        <w:rPr>
          <w:rFonts w:asciiTheme="minorHAnsi" w:hAnsiTheme="minorHAnsi" w:cstheme="minorHAnsi"/>
          <w:color w:val="auto"/>
          <w:sz w:val="28"/>
          <w:szCs w:val="28"/>
        </w:rPr>
      </w:pPr>
      <w:r w:rsidRPr="00A72AB5">
        <w:rPr>
          <w:rFonts w:asciiTheme="minorHAnsi" w:hAnsiTheme="minorHAnsi" w:cstheme="minorHAnsi"/>
          <w:color w:val="auto"/>
          <w:sz w:val="28"/>
          <w:szCs w:val="28"/>
        </w:rPr>
        <w:t>British Heart Foundation Centre of Research Excellence</w:t>
      </w:r>
    </w:p>
    <w:p w14:paraId="2790C392" w14:textId="77777777" w:rsidR="007C171E" w:rsidRPr="00A72AB5" w:rsidRDefault="007C171E" w:rsidP="007C171E">
      <w:pPr>
        <w:spacing w:after="0" w:line="240" w:lineRule="auto"/>
        <w:rPr>
          <w:rFonts w:asciiTheme="minorHAnsi" w:hAnsiTheme="minorHAnsi" w:cstheme="minorHAnsi"/>
          <w:b/>
          <w:bCs/>
          <w:color w:val="auto"/>
          <w:sz w:val="28"/>
          <w:szCs w:val="28"/>
        </w:rPr>
      </w:pPr>
      <w:r w:rsidRPr="00A72AB5">
        <w:rPr>
          <w:rFonts w:asciiTheme="minorHAnsi" w:hAnsiTheme="minorHAnsi" w:cstheme="minorHAnsi"/>
          <w:color w:val="auto"/>
          <w:sz w:val="28"/>
          <w:szCs w:val="28"/>
        </w:rPr>
        <w:t>PhD studentship</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5A8729D" w:rsidR="00066C81" w:rsidRPr="00066C81" w:rsidRDefault="0038453C" w:rsidP="00066C81">
            <w:r>
              <w:t xml:space="preserve">Prof David </w:t>
            </w:r>
            <w:proofErr w:type="spellStart"/>
            <w:r>
              <w:t>Adlam</w:t>
            </w:r>
            <w:proofErr w:type="spellEnd"/>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2313417" w:rsidR="00066C81" w:rsidRPr="00066C81" w:rsidRDefault="0038453C" w:rsidP="00066C81">
            <w:r>
              <w:t>Cardiovascular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09706123" w:rsidR="003A7DAE" w:rsidRPr="00066C81" w:rsidRDefault="0038453C" w:rsidP="00066C81">
            <w:r>
              <w:t>da134@le.ac.uk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36D56AC" w:rsidR="00066C81" w:rsidRDefault="0038453C" w:rsidP="00ED69E6">
            <w:r>
              <w:t>Prof Leong Ng</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1A6DDBFD" w:rsidR="00066C81" w:rsidRDefault="0038453C" w:rsidP="00ED69E6">
            <w:r>
              <w:t>Cardiovascular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5CB56182" w:rsidR="003A7DAE" w:rsidRDefault="0038453C" w:rsidP="00ED69E6">
            <w:r w:rsidRPr="0038453C">
              <w:t>lln1@leicester.ac.uk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01170426" w:rsidR="00066C81" w:rsidRPr="0038453C" w:rsidRDefault="0038453C" w:rsidP="00ED69E6">
            <w:r w:rsidRPr="0038453C">
              <w:t>Dr Tom Webb (</w:t>
            </w:r>
            <w:hyperlink r:id="rId5" w:history="1">
              <w:r w:rsidRPr="0038453C">
                <w:rPr>
                  <w:rStyle w:val="Hyperlink"/>
                </w:rPr>
                <w:t>tw126@leicester.ac.uk</w:t>
              </w:r>
            </w:hyperlink>
            <w:r w:rsidRPr="0038453C">
              <w:t>) and Dr</w:t>
            </w:r>
            <w:r w:rsidRPr="0038453C">
              <w:rPr>
                <w:rFonts w:asciiTheme="minorHAnsi" w:hAnsiTheme="minorHAnsi" w:cstheme="minorHAnsi"/>
              </w:rPr>
              <w:t xml:space="preserve"> Furqan Aziz (</w:t>
            </w:r>
            <w:r w:rsidRPr="0038453C">
              <w:t>fa311@leicester.ac.uk)</w:t>
            </w:r>
          </w:p>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A5A8392" w:rsidR="00066C81" w:rsidRPr="0038453C" w:rsidRDefault="0038453C" w:rsidP="00ED69E6">
            <w:pPr>
              <w:rPr>
                <w:rFonts w:asciiTheme="minorHAnsi" w:hAnsiTheme="minorHAnsi" w:cstheme="minorHAnsi"/>
              </w:rPr>
            </w:pPr>
            <w:r w:rsidRPr="0038453C">
              <w:rPr>
                <w:rFonts w:asciiTheme="minorHAnsi" w:hAnsiTheme="minorHAnsi" w:cstheme="minorHAnsi"/>
              </w:rPr>
              <w:t>Machine-learning directed plasma proteomics to develop a novel blood test for the diagnosis of spontaneous coronary artery dissection (SCAD)</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936BED0" w14:textId="37B23824" w:rsidR="0038453C" w:rsidRPr="0038453C" w:rsidRDefault="0038453C" w:rsidP="0038453C">
            <w:pPr>
              <w:jc w:val="both"/>
              <w:rPr>
                <w:rFonts w:asciiTheme="minorHAnsi" w:hAnsiTheme="minorHAnsi" w:cstheme="minorHAnsi"/>
              </w:rPr>
            </w:pPr>
            <w:r w:rsidRPr="0038453C">
              <w:rPr>
                <w:rFonts w:asciiTheme="minorHAnsi" w:hAnsiTheme="minorHAnsi" w:cstheme="minorHAnsi"/>
              </w:rPr>
              <w:t xml:space="preserve">SCAD is an increasingly recognised cause of non-atherosclerotic AMI, predominantly afflicting young women with few conventional atherosclerotic risk factors. In this multidisciplinary cardiovascular sciences studentship, we propose to use machine learning tools in collaboration with the school of computing and mathematical sciences, to conduct a hypothesis independent approach to the identification of a diagnostic biomarker panel for SCAD, derived from a deep exploration of the human plasma proteome data from the University Van </w:t>
            </w:r>
            <w:proofErr w:type="spellStart"/>
            <w:r w:rsidRPr="0038453C">
              <w:rPr>
                <w:rFonts w:asciiTheme="minorHAnsi" w:hAnsiTheme="minorHAnsi" w:cstheme="minorHAnsi"/>
              </w:rPr>
              <w:t>Geest</w:t>
            </w:r>
            <w:proofErr w:type="spellEnd"/>
            <w:r w:rsidRPr="0038453C">
              <w:rPr>
                <w:rFonts w:asciiTheme="minorHAnsi" w:hAnsiTheme="minorHAnsi" w:cstheme="minorHAnsi"/>
              </w:rPr>
              <w:t xml:space="preserve"> </w:t>
            </w:r>
            <w:proofErr w:type="spellStart"/>
            <w:r w:rsidRPr="0038453C">
              <w:rPr>
                <w:rFonts w:asciiTheme="minorHAnsi" w:hAnsiTheme="minorHAnsi" w:cstheme="minorHAnsi"/>
              </w:rPr>
              <w:t>multiomics</w:t>
            </w:r>
            <w:proofErr w:type="spellEnd"/>
            <w:r w:rsidRPr="0038453C">
              <w:rPr>
                <w:rFonts w:asciiTheme="minorHAnsi" w:hAnsiTheme="minorHAnsi" w:cstheme="minorHAnsi"/>
              </w:rPr>
              <w:t xml:space="preserve"> facility at the Hodgkin building. For this biomarker-development phase we will use existing </w:t>
            </w:r>
            <w:proofErr w:type="spellStart"/>
            <w:r w:rsidRPr="0038453C">
              <w:rPr>
                <w:rFonts w:asciiTheme="minorHAnsi" w:hAnsiTheme="minorHAnsi" w:cstheme="minorHAnsi"/>
              </w:rPr>
              <w:t>biobanked</w:t>
            </w:r>
            <w:proofErr w:type="spellEnd"/>
            <w:r w:rsidRPr="0038453C">
              <w:rPr>
                <w:rFonts w:asciiTheme="minorHAnsi" w:hAnsiTheme="minorHAnsi" w:cstheme="minorHAnsi"/>
              </w:rPr>
              <w:t xml:space="preserve"> </w:t>
            </w:r>
            <w:r w:rsidRPr="0038453C">
              <w:rPr>
                <w:rFonts w:asciiTheme="minorHAnsi" w:hAnsiTheme="minorHAnsi" w:cstheme="minorHAnsi"/>
              </w:rPr>
              <w:lastRenderedPageBreak/>
              <w:t>cohorts of SCAD, age-gender matched healthy volunteers and non-SCAD ACS (</w:t>
            </w:r>
            <w:r w:rsidRPr="0038453C">
              <w:rPr>
                <w:rFonts w:asciiTheme="minorHAnsi" w:eastAsia="Times New Roman" w:hAnsiTheme="minorHAnsi" w:cstheme="minorHAnsi"/>
                <w:iCs/>
              </w:rPr>
              <w:t xml:space="preserve">UK SCAD, </w:t>
            </w:r>
            <w:r w:rsidRPr="0038453C">
              <w:rPr>
                <w:rFonts w:asciiTheme="minorHAnsi" w:hAnsiTheme="minorHAnsi" w:cstheme="minorHAnsi"/>
                <w:i/>
                <w:iCs/>
                <w:lang w:val="en-US"/>
              </w:rPr>
              <w:t xml:space="preserve">Swiss SCAD and </w:t>
            </w:r>
            <w:proofErr w:type="spellStart"/>
            <w:r w:rsidRPr="0038453C">
              <w:rPr>
                <w:rFonts w:asciiTheme="minorHAnsi" w:hAnsiTheme="minorHAnsi" w:cstheme="minorHAnsi"/>
                <w:i/>
                <w:iCs/>
                <w:lang w:val="en-US"/>
              </w:rPr>
              <w:t>InterSCAD</w:t>
            </w:r>
            <w:proofErr w:type="spellEnd"/>
            <w:r w:rsidRPr="0038453C">
              <w:rPr>
                <w:rFonts w:asciiTheme="minorHAnsi" w:hAnsiTheme="minorHAnsi" w:cstheme="minorHAnsi"/>
                <w:i/>
                <w:iCs/>
                <w:lang w:val="en-US"/>
              </w:rPr>
              <w:t xml:space="preserve"> SPUM-ACS</w:t>
            </w:r>
            <w:r w:rsidRPr="0038453C">
              <w:rPr>
                <w:rFonts w:asciiTheme="minorHAnsi" w:hAnsiTheme="minorHAnsi" w:cstheme="minorHAnsi"/>
                <w:lang w:val="en-US"/>
              </w:rPr>
              <w:t>).</w:t>
            </w:r>
            <w:r w:rsidRPr="0038453C">
              <w:rPr>
                <w:rFonts w:asciiTheme="minorHAnsi" w:hAnsiTheme="minorHAnsi" w:cstheme="minorHAnsi"/>
              </w:rPr>
              <w:t xml:space="preserve"> We will using high-definition mass spec instruments with ion mobility   e.g.  Waters G2S, Bruker </w:t>
            </w:r>
            <w:proofErr w:type="spellStart"/>
            <w:r w:rsidRPr="0038453C">
              <w:rPr>
                <w:rFonts w:asciiTheme="minorHAnsi" w:hAnsiTheme="minorHAnsi" w:cstheme="minorHAnsi"/>
              </w:rPr>
              <w:t>timsTOF</w:t>
            </w:r>
            <w:proofErr w:type="spellEnd"/>
            <w:r w:rsidRPr="0038453C">
              <w:rPr>
                <w:rFonts w:asciiTheme="minorHAnsi" w:hAnsiTheme="minorHAnsi" w:cstheme="minorHAnsi"/>
              </w:rPr>
              <w:t xml:space="preserve"> and thermo Orbitraps which give up to 6000 proteins per run, using different matrices which are non-overlapping. These can identify half the known proteome quite easily (not including post translational modifications). These will be analysed with state-of-the art machine learning strategies. Candidate biomarker(s) identified using these omics strategies will be taken forward for prospective validation in patients recruited to the APT-SCAD clinical trial and relevant controls. </w:t>
            </w:r>
          </w:p>
          <w:p w14:paraId="762638CB" w14:textId="77777777" w:rsidR="0038453C" w:rsidRPr="0038453C" w:rsidRDefault="0038453C" w:rsidP="0038453C">
            <w:pPr>
              <w:jc w:val="both"/>
              <w:rPr>
                <w:rFonts w:asciiTheme="minorHAnsi" w:hAnsiTheme="minorHAnsi" w:cstheme="minorHAnsi"/>
              </w:rPr>
            </w:pPr>
          </w:p>
          <w:p w14:paraId="04430C61" w14:textId="335DC141" w:rsidR="0038453C" w:rsidRPr="0038453C" w:rsidRDefault="0038453C" w:rsidP="0038453C">
            <w:pPr>
              <w:jc w:val="both"/>
              <w:rPr>
                <w:rFonts w:asciiTheme="minorHAnsi" w:hAnsiTheme="minorHAnsi" w:cstheme="minorHAnsi"/>
              </w:rPr>
            </w:pPr>
            <w:r w:rsidRPr="0038453C">
              <w:rPr>
                <w:rFonts w:asciiTheme="minorHAnsi" w:hAnsiTheme="minorHAnsi" w:cstheme="minorHAnsi"/>
              </w:rPr>
              <w:t>The student will develop interdisciplinary skills in laboratory science, clinical science and machine learning.</w:t>
            </w:r>
          </w:p>
          <w:p w14:paraId="6BF1D62C" w14:textId="77777777" w:rsidR="0038453C" w:rsidRDefault="0038453C" w:rsidP="00ED69E6">
            <w:pPr>
              <w:rPr>
                <w:rFonts w:asciiTheme="minorHAnsi" w:hAnsiTheme="minorHAnsi" w:cstheme="minorHAnsi"/>
              </w:rPr>
            </w:pPr>
          </w:p>
          <w:p w14:paraId="258DFB55" w14:textId="26BAEBB9" w:rsidR="00066C81" w:rsidRPr="0038453C" w:rsidRDefault="0038453C" w:rsidP="00ED69E6">
            <w:pPr>
              <w:rPr>
                <w:rFonts w:asciiTheme="minorHAnsi" w:hAnsiTheme="minorHAnsi" w:cstheme="minorHAnsi"/>
              </w:rPr>
            </w:pPr>
            <w:r w:rsidRPr="0038453C">
              <w:rPr>
                <w:rFonts w:asciiTheme="minorHAnsi" w:hAnsiTheme="minorHAnsi" w:cstheme="minorHAnsi"/>
              </w:rPr>
              <w:t>The student will benefit from support from existing funds (</w:t>
            </w:r>
            <w:proofErr w:type="spellStart"/>
            <w:r w:rsidRPr="0038453C">
              <w:rPr>
                <w:rFonts w:asciiTheme="minorHAnsi" w:hAnsiTheme="minorHAnsi" w:cstheme="minorHAnsi"/>
              </w:rPr>
              <w:t>BeatSCAD</w:t>
            </w:r>
            <w:proofErr w:type="spellEnd"/>
            <w:r w:rsidRPr="0038453C">
              <w:rPr>
                <w:rFonts w:asciiTheme="minorHAnsi" w:hAnsiTheme="minorHAnsi" w:cstheme="minorHAnsi"/>
              </w:rPr>
              <w:t>) to support additional proteomics consumables above the standard available studentship funds and from support from our BHF Special Project Grant funded academic partnership (</w:t>
            </w:r>
            <w:proofErr w:type="spellStart"/>
            <w:r w:rsidRPr="0038453C">
              <w:rPr>
                <w:rFonts w:asciiTheme="minorHAnsi" w:hAnsiTheme="minorHAnsi" w:cstheme="minorHAnsi"/>
              </w:rPr>
              <w:t>Adlam</w:t>
            </w:r>
            <w:proofErr w:type="spellEnd"/>
            <w:r w:rsidRPr="0038453C">
              <w:rPr>
                <w:rFonts w:asciiTheme="minorHAnsi" w:hAnsiTheme="minorHAnsi" w:cstheme="minorHAnsi"/>
              </w:rPr>
              <w:t>, Webb, Nelson, Ng) and associated funded post-doctoral ECR scientists with relevant experience (McVey, Saxby, Solomon).</w:t>
            </w:r>
          </w:p>
          <w:p w14:paraId="1E9E76EF" w14:textId="4045806C" w:rsidR="0038453C" w:rsidRPr="0038453C" w:rsidRDefault="0038453C" w:rsidP="00ED69E6">
            <w:pPr>
              <w:rPr>
                <w:rFonts w:asciiTheme="minorHAnsi" w:hAnsiTheme="minorHAnsi" w:cstheme="minorHAnsi"/>
                <w:b/>
              </w:rPr>
            </w:pPr>
          </w:p>
          <w:p w14:paraId="08E6DC62" w14:textId="77777777" w:rsidR="0038453C" w:rsidRPr="0038453C" w:rsidRDefault="0038453C" w:rsidP="0038453C">
            <w:pPr>
              <w:spacing w:after="120"/>
              <w:rPr>
                <w:rFonts w:asciiTheme="minorHAnsi" w:hAnsiTheme="minorHAnsi" w:cstheme="minorHAnsi"/>
              </w:rPr>
            </w:pPr>
            <w:r w:rsidRPr="0038453C">
              <w:rPr>
                <w:rFonts w:asciiTheme="minorHAnsi" w:hAnsiTheme="minorHAnsi" w:cstheme="minorHAnsi"/>
              </w:rPr>
              <w:t>Our research will continue to be conducted in close partnership with our patients both in the UK (</w:t>
            </w:r>
            <w:hyperlink r:id="rId6" w:history="1">
              <w:r w:rsidRPr="0038453C">
                <w:rPr>
                  <w:rFonts w:asciiTheme="minorHAnsi" w:hAnsiTheme="minorHAnsi" w:cstheme="minorHAnsi"/>
                </w:rPr>
                <w:t>http://beatscad.org.uk/</w:t>
              </w:r>
            </w:hyperlink>
            <w:r w:rsidRPr="0038453C">
              <w:rPr>
                <w:rFonts w:asciiTheme="minorHAnsi" w:hAnsiTheme="minorHAnsi" w:cstheme="minorHAnsi"/>
              </w:rPr>
              <w:t>) and Europe (https://www.rareconnect.org/en/community/spontaneous-coronary-artery-dissection).</w:t>
            </w:r>
          </w:p>
          <w:p w14:paraId="52EFBB87" w14:textId="77777777" w:rsidR="00066C81" w:rsidRPr="0038453C" w:rsidRDefault="00066C81" w:rsidP="00ED69E6">
            <w:pPr>
              <w:rPr>
                <w:rFonts w:asciiTheme="minorHAnsi" w:hAnsiTheme="minorHAnsi" w:cstheme="minorHAnsi"/>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004CE210" w14:textId="77777777" w:rsidR="0038453C" w:rsidRPr="006929A8" w:rsidRDefault="0038453C" w:rsidP="0038453C">
            <w:pPr>
              <w:pStyle w:val="EndNoteBibliography"/>
              <w:spacing w:after="0"/>
            </w:pPr>
            <w:r>
              <w:rPr>
                <w:sz w:val="18"/>
                <w:szCs w:val="18"/>
              </w:rPr>
              <w:fldChar w:fldCharType="begin"/>
            </w:r>
            <w:r>
              <w:rPr>
                <w:sz w:val="18"/>
                <w:szCs w:val="18"/>
              </w:rPr>
              <w:instrText xml:space="preserve"> ADDIN EN.REFLIST </w:instrText>
            </w:r>
            <w:r>
              <w:rPr>
                <w:sz w:val="18"/>
                <w:szCs w:val="18"/>
              </w:rPr>
              <w:fldChar w:fldCharType="separate"/>
            </w:r>
            <w:r w:rsidRPr="006929A8">
              <w:t>1.</w:t>
            </w:r>
            <w:r w:rsidRPr="006929A8">
              <w:tab/>
              <w:t xml:space="preserve">Adlam D, Alfonso F, Maas A, Vrints C, Writing C. European Society of Cardiology, acute cardiovascular care association, SCAD study group: a position paper on spontaneous coronary artery dissection. </w:t>
            </w:r>
            <w:r w:rsidRPr="006929A8">
              <w:rPr>
                <w:i/>
              </w:rPr>
              <w:t xml:space="preserve">Eur Heart J </w:t>
            </w:r>
            <w:r w:rsidRPr="006929A8">
              <w:t>2018;</w:t>
            </w:r>
            <w:r w:rsidRPr="006929A8">
              <w:rPr>
                <w:b/>
              </w:rPr>
              <w:t>39</w:t>
            </w:r>
            <w:r w:rsidRPr="006929A8">
              <w:t>:3353-3368. doi: 10.1093/eurheartj/ehy080</w:t>
            </w:r>
          </w:p>
          <w:p w14:paraId="208937F0" w14:textId="77777777" w:rsidR="0038453C" w:rsidRPr="006929A8" w:rsidRDefault="0038453C" w:rsidP="0038453C">
            <w:pPr>
              <w:pStyle w:val="EndNoteBibliography"/>
              <w:spacing w:after="0"/>
            </w:pPr>
            <w:r w:rsidRPr="006929A8">
              <w:t>2.</w:t>
            </w:r>
            <w:r w:rsidRPr="006929A8">
              <w:tab/>
              <w:t>Hayes SN, Kim ESH, Saw J</w:t>
            </w:r>
            <w:r w:rsidRPr="006929A8">
              <w:rPr>
                <w:i/>
              </w:rPr>
              <w:t>, et al.</w:t>
            </w:r>
            <w:r w:rsidRPr="006929A8">
              <w:t xml:space="preserve"> Spontaneous Coronary Artery Dissection: Current State of the Science: A Scientific Statement From the American Heart Association. </w:t>
            </w:r>
            <w:r w:rsidRPr="006929A8">
              <w:rPr>
                <w:i/>
              </w:rPr>
              <w:t xml:space="preserve">Circulation </w:t>
            </w:r>
            <w:r w:rsidRPr="006929A8">
              <w:t>2018;</w:t>
            </w:r>
            <w:r w:rsidRPr="006929A8">
              <w:rPr>
                <w:b/>
              </w:rPr>
              <w:t>137</w:t>
            </w:r>
            <w:r w:rsidRPr="006929A8">
              <w:t>:e523-e557. doi: 10.1161/CIR.0000000000000564</w:t>
            </w:r>
          </w:p>
          <w:p w14:paraId="4B33A78A" w14:textId="77777777" w:rsidR="0038453C" w:rsidRPr="006929A8" w:rsidRDefault="0038453C" w:rsidP="0038453C">
            <w:pPr>
              <w:pStyle w:val="EndNoteBibliography"/>
              <w:spacing w:after="0"/>
            </w:pPr>
            <w:r w:rsidRPr="006929A8">
              <w:t>3.</w:t>
            </w:r>
            <w:r w:rsidRPr="006929A8">
              <w:tab/>
              <w:t>Hayes SN, Tweet MS, Adlam D</w:t>
            </w:r>
            <w:r w:rsidRPr="006929A8">
              <w:rPr>
                <w:i/>
              </w:rPr>
              <w:t>, et al.</w:t>
            </w:r>
            <w:r w:rsidRPr="006929A8">
              <w:t xml:space="preserve"> Spontaneous Coronary Artery Dissection: JACC State-of-the-Art Review. </w:t>
            </w:r>
            <w:r w:rsidRPr="006929A8">
              <w:rPr>
                <w:i/>
              </w:rPr>
              <w:t xml:space="preserve">J Am Coll Cardiol </w:t>
            </w:r>
            <w:r w:rsidRPr="006929A8">
              <w:t>2020;</w:t>
            </w:r>
            <w:r w:rsidRPr="006929A8">
              <w:rPr>
                <w:b/>
              </w:rPr>
              <w:t>76</w:t>
            </w:r>
            <w:r w:rsidRPr="006929A8">
              <w:t>:961-984. doi: 10.1016/j.jacc.2020.05.084</w:t>
            </w:r>
          </w:p>
          <w:p w14:paraId="17AF2796" w14:textId="77777777" w:rsidR="0038453C" w:rsidRPr="006929A8" w:rsidRDefault="0038453C" w:rsidP="0038453C">
            <w:pPr>
              <w:pStyle w:val="EndNoteBibliography"/>
              <w:spacing w:after="0"/>
            </w:pPr>
            <w:r w:rsidRPr="006929A8">
              <w:t>4.</w:t>
            </w:r>
            <w:r w:rsidRPr="006929A8">
              <w:tab/>
              <w:t>Adlam D, Tweet MS, Gulati R</w:t>
            </w:r>
            <w:r w:rsidRPr="006929A8">
              <w:rPr>
                <w:i/>
              </w:rPr>
              <w:t>, et al.</w:t>
            </w:r>
            <w:r w:rsidRPr="006929A8">
              <w:t xml:space="preserve"> Spontaneous Coronary Artery Dissection: Pitfalls of Angiographic Diagnosis and an Approach to Ambiguous Cases. </w:t>
            </w:r>
            <w:r w:rsidRPr="006929A8">
              <w:rPr>
                <w:i/>
              </w:rPr>
              <w:t xml:space="preserve">JACC Cardiovasc Interv </w:t>
            </w:r>
            <w:r w:rsidRPr="006929A8">
              <w:t>2021;</w:t>
            </w:r>
            <w:r w:rsidRPr="006929A8">
              <w:rPr>
                <w:b/>
              </w:rPr>
              <w:t>14</w:t>
            </w:r>
            <w:r w:rsidRPr="006929A8">
              <w:t>:1743-1756. doi: 10.1016/j.jcin.2021.06.027</w:t>
            </w:r>
          </w:p>
          <w:p w14:paraId="358E5FCA" w14:textId="77777777" w:rsidR="0038453C" w:rsidRPr="006929A8" w:rsidRDefault="0038453C" w:rsidP="0038453C">
            <w:pPr>
              <w:pStyle w:val="EndNoteBibliography"/>
              <w:spacing w:after="0"/>
            </w:pPr>
            <w:r w:rsidRPr="006929A8">
              <w:t>5.</w:t>
            </w:r>
            <w:r w:rsidRPr="006929A8">
              <w:tab/>
              <w:t>Kotecha D, Garcia-Guimaraes M, Premawardhana D</w:t>
            </w:r>
            <w:r w:rsidRPr="006929A8">
              <w:rPr>
                <w:i/>
              </w:rPr>
              <w:t>, et al.</w:t>
            </w:r>
            <w:r w:rsidRPr="006929A8">
              <w:t xml:space="preserve"> Risks and benefits of percutaneous coronary intervention in spontaneous coronary artery dissection. </w:t>
            </w:r>
            <w:r w:rsidRPr="006929A8">
              <w:rPr>
                <w:i/>
              </w:rPr>
              <w:t xml:space="preserve">Heart </w:t>
            </w:r>
            <w:r w:rsidRPr="006929A8">
              <w:t>2021;</w:t>
            </w:r>
            <w:r w:rsidRPr="006929A8">
              <w:rPr>
                <w:b/>
              </w:rPr>
              <w:t>107</w:t>
            </w:r>
            <w:r w:rsidRPr="006929A8">
              <w:t>:1398-1406. doi: 10.1136/heartjnl-2020-318914</w:t>
            </w:r>
          </w:p>
          <w:p w14:paraId="31FD8800" w14:textId="77777777" w:rsidR="0038453C" w:rsidRPr="006929A8" w:rsidRDefault="0038453C" w:rsidP="0038453C">
            <w:pPr>
              <w:pStyle w:val="EndNoteBibliography"/>
              <w:spacing w:after="0"/>
            </w:pPr>
            <w:r w:rsidRPr="006929A8">
              <w:t>6.</w:t>
            </w:r>
            <w:r w:rsidRPr="006929A8">
              <w:tab/>
              <w:t>Chan N, Premawardhana D, Al-Hussaini A</w:t>
            </w:r>
            <w:r w:rsidRPr="006929A8">
              <w:rPr>
                <w:i/>
              </w:rPr>
              <w:t>, et al.</w:t>
            </w:r>
            <w:r w:rsidRPr="006929A8">
              <w:t xml:space="preserve"> Pregnancy and Spontaneous Coronary Artery Dissection: Lessons From Survivors and Nonsurvivors. </w:t>
            </w:r>
            <w:r w:rsidRPr="006929A8">
              <w:rPr>
                <w:i/>
              </w:rPr>
              <w:t xml:space="preserve">Circulation </w:t>
            </w:r>
            <w:r w:rsidRPr="006929A8">
              <w:t>2022;</w:t>
            </w:r>
            <w:r w:rsidRPr="006929A8">
              <w:rPr>
                <w:b/>
              </w:rPr>
              <w:t>146</w:t>
            </w:r>
            <w:r w:rsidRPr="006929A8">
              <w:t>:69-72. doi: 10.1161/CIRCULATIONAHA.122.059635</w:t>
            </w:r>
          </w:p>
          <w:p w14:paraId="665723A4" w14:textId="77777777" w:rsidR="0038453C" w:rsidRPr="006929A8" w:rsidRDefault="0038453C" w:rsidP="0038453C">
            <w:pPr>
              <w:pStyle w:val="EndNoteBibliography"/>
              <w:spacing w:after="0"/>
            </w:pPr>
            <w:r w:rsidRPr="006929A8">
              <w:t>7.</w:t>
            </w:r>
            <w:r w:rsidRPr="006929A8">
              <w:tab/>
              <w:t>Saw J, Starovoytov A, Humphries K</w:t>
            </w:r>
            <w:r w:rsidRPr="006929A8">
              <w:rPr>
                <w:i/>
              </w:rPr>
              <w:t>, et al.</w:t>
            </w:r>
            <w:r w:rsidRPr="006929A8">
              <w:t xml:space="preserve"> Canadian spontaneous coronary artery dissection cohort study: in-hospital and 30-day outcomes. </w:t>
            </w:r>
            <w:r w:rsidRPr="006929A8">
              <w:rPr>
                <w:i/>
              </w:rPr>
              <w:t xml:space="preserve">Eur Heart J </w:t>
            </w:r>
            <w:r w:rsidRPr="006929A8">
              <w:t>2019;</w:t>
            </w:r>
            <w:r w:rsidRPr="006929A8">
              <w:rPr>
                <w:b/>
              </w:rPr>
              <w:t>40</w:t>
            </w:r>
            <w:r w:rsidRPr="006929A8">
              <w:t>:1188-1197. doi: 10.1093/eurheartj/ehz007</w:t>
            </w:r>
          </w:p>
          <w:p w14:paraId="37FF3AE5" w14:textId="77777777" w:rsidR="0038453C" w:rsidRPr="006929A8" w:rsidRDefault="0038453C" w:rsidP="0038453C">
            <w:pPr>
              <w:pStyle w:val="EndNoteBibliography"/>
              <w:spacing w:after="0"/>
            </w:pPr>
            <w:r w:rsidRPr="006929A8">
              <w:t>8.</w:t>
            </w:r>
            <w:r w:rsidRPr="006929A8">
              <w:tab/>
              <w:t>Vasilopoulou CG, Sulek K, Brunner AD</w:t>
            </w:r>
            <w:r w:rsidRPr="006929A8">
              <w:rPr>
                <w:i/>
              </w:rPr>
              <w:t>, et al.</w:t>
            </w:r>
            <w:r w:rsidRPr="006929A8">
              <w:t xml:space="preserve"> Trapped ion mobility spectrometry and PASEF enable in-depth lipidomics from minimal sample amounts. </w:t>
            </w:r>
            <w:r w:rsidRPr="006929A8">
              <w:rPr>
                <w:i/>
              </w:rPr>
              <w:t xml:space="preserve">Nat Commun </w:t>
            </w:r>
            <w:r w:rsidRPr="006929A8">
              <w:t>2020;</w:t>
            </w:r>
            <w:r w:rsidRPr="006929A8">
              <w:rPr>
                <w:b/>
              </w:rPr>
              <w:t>11</w:t>
            </w:r>
            <w:r w:rsidRPr="006929A8">
              <w:t>:331. doi: 10.1038/s41467-019-14044-x</w:t>
            </w:r>
          </w:p>
          <w:p w14:paraId="558347BF" w14:textId="77777777" w:rsidR="0038453C" w:rsidRPr="006929A8" w:rsidRDefault="0038453C" w:rsidP="0038453C">
            <w:pPr>
              <w:pStyle w:val="EndNoteBibliography"/>
              <w:spacing w:after="0"/>
            </w:pPr>
            <w:r w:rsidRPr="006929A8">
              <w:t>9.</w:t>
            </w:r>
            <w:r w:rsidRPr="006929A8">
              <w:tab/>
              <w:t>Ding J, Blencowe M, Nghiem T</w:t>
            </w:r>
            <w:r w:rsidRPr="006929A8">
              <w:rPr>
                <w:i/>
              </w:rPr>
              <w:t>, et al.</w:t>
            </w:r>
            <w:r w:rsidRPr="006929A8">
              <w:t xml:space="preserve"> Mergeomics 2.0: a web server for multi-omics data integration to elucidate disease networks and predict therapeutics. </w:t>
            </w:r>
            <w:r w:rsidRPr="006929A8">
              <w:rPr>
                <w:i/>
              </w:rPr>
              <w:t xml:space="preserve">Nucleic Acids Res </w:t>
            </w:r>
            <w:r w:rsidRPr="006929A8">
              <w:t>2021;</w:t>
            </w:r>
            <w:r w:rsidRPr="006929A8">
              <w:rPr>
                <w:b/>
              </w:rPr>
              <w:t>49</w:t>
            </w:r>
            <w:r w:rsidRPr="006929A8">
              <w:t>:W375-W387. doi: 10.1093/nar/gkab405</w:t>
            </w:r>
          </w:p>
          <w:p w14:paraId="28643B16" w14:textId="77777777" w:rsidR="0038453C" w:rsidRPr="006929A8" w:rsidRDefault="0038453C" w:rsidP="0038453C">
            <w:pPr>
              <w:pStyle w:val="EndNoteBibliography"/>
              <w:spacing w:after="0"/>
            </w:pPr>
            <w:r w:rsidRPr="006929A8">
              <w:t>10.</w:t>
            </w:r>
            <w:r w:rsidRPr="006929A8">
              <w:tab/>
              <w:t>Cao TH, Jones DJL, Voors AA</w:t>
            </w:r>
            <w:r w:rsidRPr="006929A8">
              <w:rPr>
                <w:i/>
              </w:rPr>
              <w:t>, et al.</w:t>
            </w:r>
            <w:r w:rsidRPr="006929A8">
              <w:t xml:space="preserve"> Plasma proteomic approach in patients with heart failure: insights into pathogenesis of disease progression and potential novel treatment targets. </w:t>
            </w:r>
            <w:r w:rsidRPr="006929A8">
              <w:rPr>
                <w:i/>
              </w:rPr>
              <w:t xml:space="preserve">Eur J Heart Fail </w:t>
            </w:r>
            <w:r w:rsidRPr="006929A8">
              <w:t>2020;</w:t>
            </w:r>
            <w:r w:rsidRPr="006929A8">
              <w:rPr>
                <w:b/>
              </w:rPr>
              <w:t>22</w:t>
            </w:r>
            <w:r w:rsidRPr="006929A8">
              <w:t>:70-80. doi: 10.1002/ejhf.1608</w:t>
            </w:r>
          </w:p>
          <w:p w14:paraId="283B8686" w14:textId="77777777" w:rsidR="0038453C" w:rsidRPr="006929A8" w:rsidRDefault="0038453C" w:rsidP="0038453C">
            <w:pPr>
              <w:pStyle w:val="EndNoteBibliography"/>
              <w:spacing w:after="0"/>
            </w:pPr>
            <w:r w:rsidRPr="006929A8">
              <w:lastRenderedPageBreak/>
              <w:t>11.</w:t>
            </w:r>
            <w:r w:rsidRPr="006929A8">
              <w:tab/>
              <w:t>Emmens JE, Jones DJL, Cao TH</w:t>
            </w:r>
            <w:r w:rsidRPr="006929A8">
              <w:rPr>
                <w:i/>
              </w:rPr>
              <w:t>, et al.</w:t>
            </w:r>
            <w:r w:rsidRPr="006929A8">
              <w:t xml:space="preserve"> Proteomic diversity of high-density lipoprotein explains its association with clinical outcome in patients with heart failure. </w:t>
            </w:r>
            <w:r w:rsidRPr="006929A8">
              <w:rPr>
                <w:i/>
              </w:rPr>
              <w:t xml:space="preserve">Eur J Heart Fail </w:t>
            </w:r>
            <w:r w:rsidRPr="006929A8">
              <w:t>2018;</w:t>
            </w:r>
            <w:r w:rsidRPr="006929A8">
              <w:rPr>
                <w:b/>
              </w:rPr>
              <w:t>20</w:t>
            </w:r>
            <w:r w:rsidRPr="006929A8">
              <w:t>:260-267. doi: 10.1002/ejhf.1101</w:t>
            </w:r>
          </w:p>
          <w:p w14:paraId="0EA479C1" w14:textId="77777777" w:rsidR="0038453C" w:rsidRPr="006929A8" w:rsidRDefault="0038453C" w:rsidP="0038453C">
            <w:pPr>
              <w:pStyle w:val="EndNoteBibliography"/>
              <w:spacing w:after="0"/>
            </w:pPr>
            <w:r w:rsidRPr="006929A8">
              <w:t>12.</w:t>
            </w:r>
            <w:r w:rsidRPr="006929A8">
              <w:tab/>
              <w:t>Su X, Junior GPO, Marie AL</w:t>
            </w:r>
            <w:r w:rsidRPr="006929A8">
              <w:rPr>
                <w:i/>
              </w:rPr>
              <w:t>, et al.</w:t>
            </w:r>
            <w:r w:rsidRPr="006929A8">
              <w:t xml:space="preserve"> Enhanced proteomic profiling of human plasma-derived extracellular vesicles through charge-based fractionation to advance biomarker discovery potential. </w:t>
            </w:r>
            <w:r w:rsidRPr="006929A8">
              <w:rPr>
                <w:i/>
              </w:rPr>
              <w:t xml:space="preserve">J Extracell Vesicles </w:t>
            </w:r>
            <w:r w:rsidRPr="006929A8">
              <w:t>2024;</w:t>
            </w:r>
            <w:r w:rsidRPr="006929A8">
              <w:rPr>
                <w:b/>
              </w:rPr>
              <w:t>13</w:t>
            </w:r>
            <w:r w:rsidRPr="006929A8">
              <w:t>:e70024. doi: 10.1002/jev2.70024</w:t>
            </w:r>
          </w:p>
          <w:p w14:paraId="56DFA7FF" w14:textId="77777777" w:rsidR="0038453C" w:rsidRPr="006929A8" w:rsidRDefault="0038453C" w:rsidP="0038453C">
            <w:pPr>
              <w:pStyle w:val="EndNoteBibliography"/>
            </w:pPr>
            <w:r w:rsidRPr="006929A8">
              <w:t>13.</w:t>
            </w:r>
            <w:r w:rsidRPr="006929A8">
              <w:tab/>
              <w:t>Wu CC, Tsantilas KA, Park J</w:t>
            </w:r>
            <w:r w:rsidRPr="006929A8">
              <w:rPr>
                <w:i/>
              </w:rPr>
              <w:t>, et al.</w:t>
            </w:r>
            <w:r w:rsidRPr="006929A8">
              <w:t xml:space="preserve"> Mag-Net: Rapid enrichment of membrane-bound particles enables high coverage quantitative analysis of the plasma proteome. </w:t>
            </w:r>
            <w:r w:rsidRPr="006929A8">
              <w:rPr>
                <w:i/>
              </w:rPr>
              <w:t xml:space="preserve">bioRxiv </w:t>
            </w:r>
            <w:r w:rsidRPr="006929A8">
              <w:t>2024. doi: 10.1101/2023.06.10.544439</w:t>
            </w:r>
          </w:p>
          <w:p w14:paraId="4CC99A4B" w14:textId="52778C99" w:rsidR="003A7DAE" w:rsidRDefault="0038453C" w:rsidP="0038453C">
            <w:pPr>
              <w:rPr>
                <w:b/>
              </w:rPr>
            </w:pPr>
            <w:r>
              <w:rPr>
                <w:sz w:val="18"/>
                <w:szCs w:val="18"/>
              </w:rPr>
              <w:fldChar w:fldCharType="end"/>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417FA"/>
    <w:rsid w:val="00066C81"/>
    <w:rsid w:val="000D3D42"/>
    <w:rsid w:val="000E5C18"/>
    <w:rsid w:val="00137D67"/>
    <w:rsid w:val="001C71FC"/>
    <w:rsid w:val="001E5791"/>
    <w:rsid w:val="00203CDE"/>
    <w:rsid w:val="00350E64"/>
    <w:rsid w:val="0038453C"/>
    <w:rsid w:val="003A7DAE"/>
    <w:rsid w:val="00577FD4"/>
    <w:rsid w:val="006F46FB"/>
    <w:rsid w:val="007C171E"/>
    <w:rsid w:val="00865045"/>
    <w:rsid w:val="00934E3F"/>
    <w:rsid w:val="009C47A8"/>
    <w:rsid w:val="00AE49DF"/>
    <w:rsid w:val="00BB70D0"/>
    <w:rsid w:val="00BD5F21"/>
    <w:rsid w:val="00CF2ED4"/>
    <w:rsid w:val="00D356FC"/>
    <w:rsid w:val="00DB0F15"/>
    <w:rsid w:val="00DE6413"/>
    <w:rsid w:val="00F2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EndNoteBibliography">
    <w:name w:val="EndNote Bibliography"/>
    <w:basedOn w:val="Normal"/>
    <w:link w:val="EndNoteBibliographyChar"/>
    <w:rsid w:val="0038453C"/>
    <w:pPr>
      <w:spacing w:after="200" w:line="240" w:lineRule="auto"/>
    </w:pPr>
    <w:rPr>
      <w:noProof/>
      <w:color w:val="auto"/>
      <w:lang w:val="en-US" w:eastAsia="en-US"/>
    </w:rPr>
  </w:style>
  <w:style w:type="character" w:customStyle="1" w:styleId="EndNoteBibliographyChar">
    <w:name w:val="EndNote Bibliography Char"/>
    <w:basedOn w:val="DefaultParagraphFont"/>
    <w:link w:val="EndNoteBibliography"/>
    <w:rsid w:val="0038453C"/>
    <w:rPr>
      <w:rFonts w:ascii="Calibri" w:eastAsia="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atscad.org.uk/" TargetMode="External"/><Relationship Id="rId5" Type="http://schemas.openxmlformats.org/officeDocument/2006/relationships/hyperlink" Target="mailto:tw126@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2025-06-20T12:07:00Z</dcterms:created>
  <dcterms:modified xsi:type="dcterms:W3CDTF">2025-06-20T12:07:00Z</dcterms:modified>
</cp:coreProperties>
</file>