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4BC7" w14:textId="77777777" w:rsidR="00EF0A9E" w:rsidRDefault="00EF0A9E"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University of Leicester</w:t>
      </w:r>
      <w:r>
        <w:rPr>
          <w:rStyle w:val="eop"/>
          <w:rFonts w:ascii="Calibri" w:hAnsi="Calibri" w:cs="Calibri"/>
        </w:rPr>
        <w:t> </w:t>
      </w:r>
    </w:p>
    <w:p w14:paraId="118ED209" w14:textId="56579C0E" w:rsidR="00EF0A9E" w:rsidRDefault="009C30A0" w:rsidP="00EF0A9E">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rPr>
        <w:t>MRC AIM</w:t>
      </w:r>
      <w:r w:rsidR="00EF0A9E">
        <w:rPr>
          <w:rStyle w:val="normaltextrun"/>
          <w:rFonts w:ascii="Calibri" w:hAnsi="Calibri" w:cs="Calibri"/>
          <w:b/>
          <w:bCs/>
        </w:rPr>
        <w:t xml:space="preserve"> Studentship Project 2025-6 entry.</w:t>
      </w:r>
      <w:r w:rsidR="00EF0A9E">
        <w:rPr>
          <w:rStyle w:val="eop"/>
          <w:rFonts w:ascii="Calibri" w:hAnsi="Calibri" w:cs="Calibri"/>
        </w:rPr>
        <w:t> </w:t>
      </w:r>
    </w:p>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25F799F6" w:rsidR="00066C81" w:rsidRPr="00066C81" w:rsidRDefault="000C6279" w:rsidP="00066C81">
            <w:r>
              <w:t>Dr Harvinder Virk</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437E154F" w:rsidR="00066C81" w:rsidRPr="00066C81" w:rsidRDefault="000C6279" w:rsidP="00066C81">
            <w:r>
              <w:t>Respiratory Sciences</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3E82018B" w14:textId="77777777" w:rsidR="00C97F86" w:rsidRDefault="00DB507F" w:rsidP="00066C81">
            <w:hyperlink r:id="rId5" w:history="1">
              <w:r w:rsidR="000C6279" w:rsidRPr="00A269E8">
                <w:rPr>
                  <w:rStyle w:val="Hyperlink"/>
                </w:rPr>
                <w:t>Hsv6@leicester.ac.uk</w:t>
              </w:r>
            </w:hyperlink>
            <w:r w:rsidR="000C6279">
              <w:t xml:space="preserve"> </w:t>
            </w:r>
          </w:p>
          <w:p w14:paraId="28BF855B" w14:textId="5CE1B4EC" w:rsidR="000C6279" w:rsidRPr="00066C81" w:rsidRDefault="00DB507F" w:rsidP="00066C81">
            <w:hyperlink r:id="rId6" w:history="1">
              <w:r w:rsidR="000C6279" w:rsidRPr="00A269E8">
                <w:rPr>
                  <w:rStyle w:val="Hyperlink"/>
                </w:rPr>
                <w:t>https://le.ac.uk/people/harvinder-virk</w:t>
              </w:r>
            </w:hyperlink>
            <w:r w:rsidR="000C6279">
              <w:t xml:space="preserve"> </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25CB2394" w:rsidR="00066C81" w:rsidRDefault="000C6279" w:rsidP="00ED69E6">
            <w:r>
              <w:t>Prof Don Jones</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599E403C" w:rsidR="00066C81" w:rsidRDefault="000C6279" w:rsidP="00ED69E6">
            <w:r w:rsidRPr="000C6279">
              <w:t>Department of Genetics, Genomics and Cancer Sciences</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1AF33E25" w14:textId="77777777" w:rsidR="003A7DAE" w:rsidRDefault="00DB507F" w:rsidP="00ED69E6">
            <w:hyperlink r:id="rId7" w:history="1">
              <w:r w:rsidR="000C6279" w:rsidRPr="00A269E8">
                <w:rPr>
                  <w:rStyle w:val="Hyperlink"/>
                </w:rPr>
                <w:t>donald.jones@leicester.ac.uk</w:t>
              </w:r>
            </w:hyperlink>
            <w:r w:rsidR="000C6279">
              <w:t xml:space="preserve"> </w:t>
            </w:r>
          </w:p>
          <w:p w14:paraId="4D06D5DB" w14:textId="1AD1BB16" w:rsidR="000C6279" w:rsidRDefault="00DB507F" w:rsidP="00ED69E6">
            <w:hyperlink r:id="rId8" w:history="1">
              <w:r w:rsidR="000C6279" w:rsidRPr="00A269E8">
                <w:rPr>
                  <w:rStyle w:val="Hyperlink"/>
                </w:rPr>
                <w:t>https://le.ac.uk/people/don-jones</w:t>
              </w:r>
            </w:hyperlink>
            <w:r w:rsidR="000C6279">
              <w:t xml:space="preserve"> </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621161BB" w:rsidR="00066C81" w:rsidRDefault="000C6279" w:rsidP="00ED69E6">
            <w:r w:rsidRPr="000C6279">
              <w:t>Beatriz Guillen Guio</w:t>
            </w:r>
            <w:r>
              <w:t xml:space="preserve"> / </w:t>
            </w:r>
            <w:r w:rsidRPr="000C6279">
              <w:t>Colleen Maxwell</w:t>
            </w:r>
          </w:p>
        </w:tc>
      </w:tr>
    </w:tbl>
    <w:p w14:paraId="4806292A" w14:textId="662EE7B9" w:rsidR="00066C81" w:rsidRDefault="00066C81" w:rsidP="00066C81">
      <w:pPr>
        <w:spacing w:after="0" w:line="240" w:lineRule="auto"/>
        <w:rPr>
          <w:b/>
          <w:u w:val="single"/>
        </w:rPr>
      </w:pPr>
    </w:p>
    <w:p w14:paraId="5C069C03" w14:textId="77777777" w:rsidR="00DB507F" w:rsidRDefault="00DB507F" w:rsidP="00DB507F">
      <w:pPr>
        <w:pStyle w:val="Default"/>
      </w:pPr>
      <w:r>
        <w:rPr>
          <w:sz w:val="22"/>
          <w:szCs w:val="22"/>
        </w:rPr>
        <w:t xml:space="preserve">This is an </w:t>
      </w:r>
      <w:proofErr w:type="spellStart"/>
      <w:r>
        <w:rPr>
          <w:sz w:val="22"/>
          <w:szCs w:val="22"/>
        </w:rPr>
        <w:t>iCASE</w:t>
      </w:r>
      <w:proofErr w:type="spellEnd"/>
      <w:r>
        <w:rPr>
          <w:sz w:val="22"/>
          <w:szCs w:val="22"/>
        </w:rPr>
        <w:t xml:space="preserve"> studentship with Abcam Ltd</w:t>
      </w:r>
      <w:r>
        <w:t xml:space="preserve">, </w:t>
      </w:r>
    </w:p>
    <w:p w14:paraId="307C8C82" w14:textId="6ED1D252" w:rsidR="00DB507F" w:rsidRPr="00DB507F" w:rsidRDefault="00DB507F" w:rsidP="00DB507F">
      <w:pPr>
        <w:pStyle w:val="Default"/>
        <w:rPr>
          <w:sz w:val="22"/>
          <w:szCs w:val="22"/>
        </w:rPr>
      </w:pPr>
      <w:r w:rsidRPr="00DB507F">
        <w:rPr>
          <w:sz w:val="22"/>
          <w:szCs w:val="22"/>
        </w:rPr>
        <w:t>Hannah Cable</w:t>
      </w:r>
      <w:r w:rsidRPr="00DB507F">
        <w:rPr>
          <w:sz w:val="22"/>
          <w:szCs w:val="22"/>
        </w:rPr>
        <w:t xml:space="preserve">, </w:t>
      </w:r>
      <w:r w:rsidRPr="00DB507F">
        <w:rPr>
          <w:sz w:val="22"/>
          <w:szCs w:val="22"/>
        </w:rPr>
        <w:t xml:space="preserve">Oversight of </w:t>
      </w:r>
      <w:proofErr w:type="spellStart"/>
      <w:r w:rsidRPr="00DB507F">
        <w:rPr>
          <w:sz w:val="22"/>
          <w:szCs w:val="22"/>
        </w:rPr>
        <w:t>iCASE</w:t>
      </w:r>
      <w:proofErr w:type="spellEnd"/>
      <w:r w:rsidRPr="00DB507F">
        <w:rPr>
          <w:sz w:val="22"/>
          <w:szCs w:val="22"/>
        </w:rPr>
        <w:t xml:space="preserve"> industry placement</w:t>
      </w:r>
    </w:p>
    <w:p w14:paraId="3AAC3532" w14:textId="77777777" w:rsidR="00DB507F" w:rsidRDefault="00DB507F"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4719A4E2" w:rsidR="00066C81" w:rsidRDefault="000C6279" w:rsidP="00ED69E6">
            <w:proofErr w:type="spellStart"/>
            <w:r>
              <w:t>iCase</w:t>
            </w:r>
            <w:proofErr w:type="spellEnd"/>
            <w:r>
              <w:t>: Exploration of markers of fibrotic and inflammatory signalling, and associated clinical phenotypes, in patients with Interstitial Lung Diseases (ILDs)</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25BE4AF8" w14:textId="77777777" w:rsidR="000C6279" w:rsidRDefault="000C6279" w:rsidP="000C6279">
            <w:pPr>
              <w:pStyle w:val="Default"/>
              <w:rPr>
                <w:sz w:val="22"/>
                <w:szCs w:val="22"/>
              </w:rPr>
            </w:pPr>
            <w:r>
              <w:rPr>
                <w:sz w:val="22"/>
                <w:szCs w:val="22"/>
              </w:rPr>
              <w:t>Interstitial Lung Diseases (ILDs) are a family of lung conditions associated with inflammation and/or fibrosis (scarring). Many ILDs can result in progressive fibrosis and rapid patient deterioration, associated with a large symptom burden and short life expectancy. The available treatments include drugs to reduce inflammation, or slow down progressive scarring (anti-</w:t>
            </w:r>
            <w:proofErr w:type="spellStart"/>
            <w:r>
              <w:rPr>
                <w:sz w:val="22"/>
                <w:szCs w:val="22"/>
              </w:rPr>
              <w:t>fibrotics</w:t>
            </w:r>
            <w:proofErr w:type="spellEnd"/>
            <w:r>
              <w:rPr>
                <w:sz w:val="22"/>
                <w:szCs w:val="22"/>
              </w:rPr>
              <w:t xml:space="preserve">). The process for working out which treatment approach(es) a patient will benefit from is slow, expensive and rely on subjective judgements. Cheaper, faster and more robust tests to identify the most suitable treatment approach, or clinical trial, for each patient, are urgently needed. </w:t>
            </w:r>
          </w:p>
          <w:p w14:paraId="104ED60D" w14:textId="77777777" w:rsidR="000C6279" w:rsidRDefault="000C6279" w:rsidP="000C6279">
            <w:pPr>
              <w:pStyle w:val="Default"/>
              <w:rPr>
                <w:sz w:val="22"/>
                <w:szCs w:val="22"/>
              </w:rPr>
            </w:pPr>
            <w:r>
              <w:rPr>
                <w:sz w:val="22"/>
                <w:szCs w:val="22"/>
              </w:rPr>
              <w:t xml:space="preserve">The project will address this need by using bioinformatics, in-vitro models, and preliminary clinical approaches (blood test development), to identify key molecules that predict ILD progression and response to different treatments. This PhD project is part of an exciting collaboration with Abcam Ltd. (Cambridge) and the University of Nottingham, with the student spending up to 6 months with our collaborating partners. Abcam Ltd. will fund the costs of the placement, including travel and accommodation, and support research costs. </w:t>
            </w:r>
          </w:p>
          <w:p w14:paraId="78DB2D09" w14:textId="3B766EEA" w:rsidR="00066C81" w:rsidRDefault="000C6279" w:rsidP="000C6279">
            <w:pPr>
              <w:rPr>
                <w:b/>
              </w:rPr>
            </w:pPr>
            <w:r>
              <w:t>The vision is to enable better patient outcomes by improving utilisation of existing treatments, and better patient selection for clinical trials, by creating robustly validated commercial diagnostic tests.</w:t>
            </w:r>
          </w:p>
          <w:p w14:paraId="52EFBB87" w14:textId="6F8D8300" w:rsidR="00FF61F7" w:rsidRDefault="00FF61F7"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t>References</w:t>
            </w:r>
          </w:p>
        </w:tc>
      </w:tr>
      <w:tr w:rsidR="003A7DAE" w14:paraId="6D3114C6" w14:textId="77777777" w:rsidTr="00ED69E6">
        <w:tc>
          <w:tcPr>
            <w:tcW w:w="9016" w:type="dxa"/>
            <w:gridSpan w:val="2"/>
          </w:tcPr>
          <w:p w14:paraId="111088F9" w14:textId="77777777" w:rsidR="000C6279" w:rsidRDefault="000C6279" w:rsidP="000C6279">
            <w:pPr>
              <w:pStyle w:val="Default"/>
              <w:rPr>
                <w:sz w:val="22"/>
                <w:szCs w:val="22"/>
              </w:rPr>
            </w:pPr>
            <w:r>
              <w:rPr>
                <w:sz w:val="22"/>
                <w:szCs w:val="22"/>
              </w:rPr>
              <w:t xml:space="preserve">*Allen, Richard L, et al. "Longitudinal lung function and gas transfer in individuals with idiopathic pulmonary fibrosis: a genome-wide association study." </w:t>
            </w:r>
            <w:r>
              <w:rPr>
                <w:i/>
                <w:iCs/>
                <w:sz w:val="22"/>
                <w:szCs w:val="22"/>
              </w:rPr>
              <w:t xml:space="preserve">Lancet Respir Med </w:t>
            </w:r>
            <w:r>
              <w:rPr>
                <w:sz w:val="22"/>
                <w:szCs w:val="22"/>
              </w:rPr>
              <w:t xml:space="preserve">11 (2023): 65-73. </w:t>
            </w:r>
          </w:p>
          <w:p w14:paraId="426378F8" w14:textId="77777777" w:rsidR="000C6279" w:rsidRDefault="000C6279" w:rsidP="000C6279">
            <w:pPr>
              <w:pStyle w:val="Default"/>
              <w:rPr>
                <w:sz w:val="22"/>
                <w:szCs w:val="22"/>
              </w:rPr>
            </w:pPr>
            <w:r>
              <w:rPr>
                <w:sz w:val="22"/>
                <w:szCs w:val="22"/>
              </w:rPr>
              <w:t>*</w:t>
            </w:r>
            <w:proofErr w:type="spellStart"/>
            <w:r>
              <w:rPr>
                <w:sz w:val="22"/>
                <w:szCs w:val="22"/>
              </w:rPr>
              <w:t>Ayoubi</w:t>
            </w:r>
            <w:proofErr w:type="spellEnd"/>
            <w:r>
              <w:rPr>
                <w:sz w:val="22"/>
                <w:szCs w:val="22"/>
              </w:rPr>
              <w:t xml:space="preserve">, Riham, et al. "A consensus platform for antibody characterization." (2024). Accepted Nature Protocols – HV lead UK author. </w:t>
            </w:r>
          </w:p>
          <w:p w14:paraId="7D24AAFD" w14:textId="77777777" w:rsidR="000C6279" w:rsidRDefault="000C6279" w:rsidP="000C6279">
            <w:pPr>
              <w:pStyle w:val="Default"/>
              <w:rPr>
                <w:sz w:val="22"/>
                <w:szCs w:val="22"/>
              </w:rPr>
            </w:pPr>
            <w:r>
              <w:rPr>
                <w:sz w:val="22"/>
                <w:szCs w:val="22"/>
              </w:rPr>
              <w:t xml:space="preserve">Bowman, Willis S., et al. "Proteomic biomarkers of progressive fibrosing interstitial lung disease: a multicentre cohort analysis." </w:t>
            </w:r>
            <w:r>
              <w:rPr>
                <w:i/>
                <w:iCs/>
                <w:sz w:val="22"/>
                <w:szCs w:val="22"/>
              </w:rPr>
              <w:t xml:space="preserve">The Lancet Respiratory Medicine </w:t>
            </w:r>
            <w:r>
              <w:rPr>
                <w:sz w:val="22"/>
                <w:szCs w:val="22"/>
              </w:rPr>
              <w:t xml:space="preserve">10.6 (2022): 593-602. </w:t>
            </w:r>
          </w:p>
          <w:p w14:paraId="02C0B781" w14:textId="77777777" w:rsidR="000C6279" w:rsidRDefault="000C6279" w:rsidP="000C6279">
            <w:pPr>
              <w:pStyle w:val="Default"/>
              <w:rPr>
                <w:sz w:val="22"/>
                <w:szCs w:val="22"/>
              </w:rPr>
            </w:pPr>
            <w:r>
              <w:rPr>
                <w:sz w:val="22"/>
                <w:szCs w:val="22"/>
              </w:rPr>
              <w:t xml:space="preserve">Grewal, </w:t>
            </w:r>
            <w:proofErr w:type="spellStart"/>
            <w:r>
              <w:rPr>
                <w:sz w:val="22"/>
                <w:szCs w:val="22"/>
              </w:rPr>
              <w:t>Japnam</w:t>
            </w:r>
            <w:proofErr w:type="spellEnd"/>
            <w:r>
              <w:rPr>
                <w:sz w:val="22"/>
                <w:szCs w:val="22"/>
              </w:rPr>
              <w:t xml:space="preserve"> S., et al. "Role of a regional multidisciplinary conference in the diagnosis of interstitial lung disease." </w:t>
            </w:r>
            <w:r>
              <w:rPr>
                <w:i/>
                <w:iCs/>
                <w:sz w:val="22"/>
                <w:szCs w:val="22"/>
              </w:rPr>
              <w:t xml:space="preserve">Annals of the American Thoracic Society </w:t>
            </w:r>
            <w:r>
              <w:rPr>
                <w:sz w:val="22"/>
                <w:szCs w:val="22"/>
              </w:rPr>
              <w:t xml:space="preserve">16.4 (2019): 455-462. </w:t>
            </w:r>
          </w:p>
          <w:p w14:paraId="364C92A0" w14:textId="77777777" w:rsidR="000C6279" w:rsidRDefault="000C6279" w:rsidP="000C6279">
            <w:pPr>
              <w:pStyle w:val="Default"/>
              <w:rPr>
                <w:sz w:val="22"/>
                <w:szCs w:val="22"/>
              </w:rPr>
            </w:pPr>
            <w:r>
              <w:rPr>
                <w:sz w:val="22"/>
                <w:szCs w:val="22"/>
              </w:rPr>
              <w:t xml:space="preserve">Han, Qian, et al. "The role of follow-up evaluation in the diagnostic algorithm of idiopathic interstitial pneumonia: a retrospective study." </w:t>
            </w:r>
            <w:r>
              <w:rPr>
                <w:i/>
                <w:iCs/>
                <w:sz w:val="22"/>
                <w:szCs w:val="22"/>
              </w:rPr>
              <w:t xml:space="preserve">Scientific Reports </w:t>
            </w:r>
            <w:r>
              <w:rPr>
                <w:sz w:val="22"/>
                <w:szCs w:val="22"/>
              </w:rPr>
              <w:t xml:space="preserve">9.1 (2019): 6452. </w:t>
            </w:r>
          </w:p>
          <w:p w14:paraId="32A1D7E6" w14:textId="77777777" w:rsidR="000C6279" w:rsidRDefault="000C6279" w:rsidP="000C6279">
            <w:pPr>
              <w:pStyle w:val="Default"/>
              <w:rPr>
                <w:sz w:val="22"/>
                <w:szCs w:val="22"/>
              </w:rPr>
            </w:pPr>
            <w:r>
              <w:rPr>
                <w:sz w:val="22"/>
                <w:szCs w:val="22"/>
              </w:rPr>
              <w:t xml:space="preserve">Huang, Yong, et al. "Machine learning of plasma proteomics classifies diagnosis of interstitial lung disease." </w:t>
            </w:r>
            <w:r>
              <w:rPr>
                <w:i/>
                <w:iCs/>
                <w:sz w:val="22"/>
                <w:szCs w:val="22"/>
              </w:rPr>
              <w:t xml:space="preserve">American Journal of Respiratory and Critical Care Medicine </w:t>
            </w:r>
            <w:proofErr w:type="spellStart"/>
            <w:r>
              <w:rPr>
                <w:sz w:val="22"/>
                <w:szCs w:val="22"/>
              </w:rPr>
              <w:t>ja</w:t>
            </w:r>
            <w:proofErr w:type="spellEnd"/>
            <w:r>
              <w:rPr>
                <w:sz w:val="22"/>
                <w:szCs w:val="22"/>
              </w:rPr>
              <w:t xml:space="preserve"> (2024). </w:t>
            </w:r>
          </w:p>
          <w:p w14:paraId="05E45FE2" w14:textId="77777777" w:rsidR="000C6279" w:rsidRDefault="000C6279" w:rsidP="000C6279">
            <w:pPr>
              <w:pStyle w:val="Default"/>
              <w:pageBreakBefore/>
              <w:rPr>
                <w:sz w:val="22"/>
                <w:szCs w:val="22"/>
              </w:rPr>
            </w:pPr>
            <w:r>
              <w:rPr>
                <w:sz w:val="22"/>
                <w:szCs w:val="22"/>
              </w:rPr>
              <w:lastRenderedPageBreak/>
              <w:t xml:space="preserve">*Khan, </w:t>
            </w:r>
            <w:proofErr w:type="spellStart"/>
            <w:r>
              <w:rPr>
                <w:sz w:val="22"/>
                <w:szCs w:val="22"/>
              </w:rPr>
              <w:t>Fasihul</w:t>
            </w:r>
            <w:proofErr w:type="spellEnd"/>
            <w:r>
              <w:rPr>
                <w:sz w:val="22"/>
                <w:szCs w:val="22"/>
              </w:rPr>
              <w:t xml:space="preserve">, et al. "Comprehensive Characterisation of Individuals with Fibrotic Interstitial Lung Disease: Baseline Insights from the </w:t>
            </w:r>
            <w:proofErr w:type="spellStart"/>
            <w:r>
              <w:rPr>
                <w:sz w:val="22"/>
                <w:szCs w:val="22"/>
              </w:rPr>
              <w:t>Injustis</w:t>
            </w:r>
            <w:proofErr w:type="spellEnd"/>
            <w:r>
              <w:rPr>
                <w:sz w:val="22"/>
                <w:szCs w:val="22"/>
              </w:rPr>
              <w:t xml:space="preserve"> Study." </w:t>
            </w:r>
          </w:p>
          <w:p w14:paraId="253F25F6" w14:textId="77777777" w:rsidR="000C6279" w:rsidRDefault="000C6279" w:rsidP="000C6279">
            <w:pPr>
              <w:pStyle w:val="Default"/>
              <w:rPr>
                <w:sz w:val="22"/>
                <w:szCs w:val="22"/>
              </w:rPr>
            </w:pPr>
            <w:proofErr w:type="spellStart"/>
            <w:r>
              <w:rPr>
                <w:sz w:val="22"/>
                <w:szCs w:val="22"/>
              </w:rPr>
              <w:t>Maddali</w:t>
            </w:r>
            <w:proofErr w:type="spellEnd"/>
            <w:r>
              <w:rPr>
                <w:sz w:val="22"/>
                <w:szCs w:val="22"/>
              </w:rPr>
              <w:t xml:space="preserve">, Manoj V., et al. "Molecular endotypes of idiopathic pulmonary fibrosis: a latent class analysis of two </w:t>
            </w:r>
            <w:proofErr w:type="spellStart"/>
            <w:r>
              <w:rPr>
                <w:sz w:val="22"/>
                <w:szCs w:val="22"/>
              </w:rPr>
              <w:t>multicenter</w:t>
            </w:r>
            <w:proofErr w:type="spellEnd"/>
            <w:r>
              <w:rPr>
                <w:sz w:val="22"/>
                <w:szCs w:val="22"/>
              </w:rPr>
              <w:t xml:space="preserve"> observational cohorts." </w:t>
            </w:r>
            <w:r>
              <w:rPr>
                <w:i/>
                <w:iCs/>
                <w:sz w:val="22"/>
                <w:szCs w:val="22"/>
              </w:rPr>
              <w:t xml:space="preserve">American Journal of Respiratory and Critical Care Medicine </w:t>
            </w:r>
            <w:r>
              <w:rPr>
                <w:sz w:val="22"/>
                <w:szCs w:val="22"/>
              </w:rPr>
              <w:t xml:space="preserve">210.4 (2024): 455-464. </w:t>
            </w:r>
          </w:p>
          <w:p w14:paraId="02A02570" w14:textId="77777777" w:rsidR="000C6279" w:rsidRDefault="000C6279" w:rsidP="000C6279">
            <w:pPr>
              <w:pStyle w:val="Default"/>
              <w:rPr>
                <w:sz w:val="22"/>
                <w:szCs w:val="22"/>
              </w:rPr>
            </w:pPr>
            <w:r>
              <w:rPr>
                <w:sz w:val="22"/>
                <w:szCs w:val="22"/>
              </w:rPr>
              <w:t>*Virk, H. S., Biddle, M. S., Smallwood, D. T., Weston, C. A., Castells, E., Bowman, V. W., ... &amp; Roach, K. M. (2021). TGFβ1 induces resistance of human lung myofibroblasts to cell death via down</w:t>
            </w:r>
            <w:r>
              <w:rPr>
                <w:rFonts w:ascii="Cambria Math" w:hAnsi="Cambria Math" w:cs="Cambria Math"/>
                <w:sz w:val="22"/>
                <w:szCs w:val="22"/>
              </w:rPr>
              <w:t>‐</w:t>
            </w:r>
            <w:r>
              <w:rPr>
                <w:sz w:val="22"/>
                <w:szCs w:val="22"/>
              </w:rPr>
              <w:t xml:space="preserve">regulation of TRPA1 channels. </w:t>
            </w:r>
            <w:r>
              <w:rPr>
                <w:i/>
                <w:iCs/>
                <w:sz w:val="22"/>
                <w:szCs w:val="22"/>
              </w:rPr>
              <w:t>British journal of pharmacology</w:t>
            </w:r>
            <w:r>
              <w:rPr>
                <w:sz w:val="22"/>
                <w:szCs w:val="22"/>
              </w:rPr>
              <w:t xml:space="preserve">, </w:t>
            </w:r>
            <w:r>
              <w:rPr>
                <w:i/>
                <w:iCs/>
                <w:sz w:val="22"/>
                <w:szCs w:val="22"/>
              </w:rPr>
              <w:t>178</w:t>
            </w:r>
            <w:r>
              <w:rPr>
                <w:sz w:val="22"/>
                <w:szCs w:val="22"/>
              </w:rPr>
              <w:t xml:space="preserve">(15), 2948-2962. </w:t>
            </w:r>
          </w:p>
          <w:p w14:paraId="54C8EFB6" w14:textId="77777777" w:rsidR="000C6279" w:rsidRDefault="000C6279" w:rsidP="000C6279">
            <w:pPr>
              <w:pStyle w:val="Default"/>
              <w:rPr>
                <w:sz w:val="22"/>
                <w:szCs w:val="22"/>
              </w:rPr>
            </w:pPr>
            <w:r>
              <w:rPr>
                <w:sz w:val="22"/>
                <w:szCs w:val="22"/>
              </w:rPr>
              <w:t xml:space="preserve">Walsh, Simon LF, et al. "Multicentre evaluation of multidisciplinary team meeting agreement on diagnosis in diffuse parenchymal lung disease: a case-cohort study." </w:t>
            </w:r>
            <w:r>
              <w:rPr>
                <w:i/>
                <w:iCs/>
                <w:sz w:val="22"/>
                <w:szCs w:val="22"/>
              </w:rPr>
              <w:t xml:space="preserve">The lancet Respiratory medicine </w:t>
            </w:r>
            <w:r>
              <w:rPr>
                <w:sz w:val="22"/>
                <w:szCs w:val="22"/>
              </w:rPr>
              <w:t xml:space="preserve">4.7 (2016): 557-565. </w:t>
            </w:r>
          </w:p>
          <w:p w14:paraId="17804839" w14:textId="3BA0F189" w:rsidR="003A7DAE" w:rsidRDefault="000C6279" w:rsidP="000C6279">
            <w:pPr>
              <w:rPr>
                <w:b/>
              </w:rPr>
            </w:pPr>
            <w:r>
              <w:t>*authored/co-authored by members of the team</w:t>
            </w: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sectPr w:rsidR="00066C81" w:rsidRP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ptos"/>
    <w:panose1 w:val="00000000000000000000"/>
    <w:charset w:val="00"/>
    <w:family w:val="swiss"/>
    <w:notTrueType/>
    <w:pitch w:val="default"/>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10D40"/>
    <w:multiLevelType w:val="hybridMultilevel"/>
    <w:tmpl w:val="0F0A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C6279"/>
    <w:rsid w:val="000D3D42"/>
    <w:rsid w:val="003A7DAE"/>
    <w:rsid w:val="00414FD7"/>
    <w:rsid w:val="006F46FB"/>
    <w:rsid w:val="009C30A0"/>
    <w:rsid w:val="009C47A8"/>
    <w:rsid w:val="00AE49DF"/>
    <w:rsid w:val="00BB70D0"/>
    <w:rsid w:val="00BD5F21"/>
    <w:rsid w:val="00C24439"/>
    <w:rsid w:val="00C97F86"/>
    <w:rsid w:val="00DB507F"/>
    <w:rsid w:val="00DE6413"/>
    <w:rsid w:val="00EF0A9E"/>
    <w:rsid w:val="00FF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paragraph">
    <w:name w:val="paragraph"/>
    <w:basedOn w:val="Normal"/>
    <w:rsid w:val="00EF0A9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F0A9E"/>
  </w:style>
  <w:style w:type="character" w:customStyle="1" w:styleId="eop">
    <w:name w:val="eop"/>
    <w:basedOn w:val="DefaultParagraphFont"/>
    <w:rsid w:val="00EF0A9E"/>
  </w:style>
  <w:style w:type="paragraph" w:customStyle="1" w:styleId="Default">
    <w:name w:val="Default"/>
    <w:rsid w:val="000C6279"/>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0125">
      <w:bodyDiv w:val="1"/>
      <w:marLeft w:val="0"/>
      <w:marRight w:val="0"/>
      <w:marTop w:val="0"/>
      <w:marBottom w:val="0"/>
      <w:divBdr>
        <w:top w:val="none" w:sz="0" w:space="0" w:color="auto"/>
        <w:left w:val="none" w:sz="0" w:space="0" w:color="auto"/>
        <w:bottom w:val="none" w:sz="0" w:space="0" w:color="auto"/>
        <w:right w:val="none" w:sz="0" w:space="0" w:color="auto"/>
      </w:divBdr>
      <w:divsChild>
        <w:div w:id="1535073856">
          <w:marLeft w:val="0"/>
          <w:marRight w:val="0"/>
          <w:marTop w:val="0"/>
          <w:marBottom w:val="0"/>
          <w:divBdr>
            <w:top w:val="none" w:sz="0" w:space="0" w:color="auto"/>
            <w:left w:val="none" w:sz="0" w:space="0" w:color="auto"/>
            <w:bottom w:val="none" w:sz="0" w:space="0" w:color="auto"/>
            <w:right w:val="none" w:sz="0" w:space="0" w:color="auto"/>
          </w:divBdr>
        </w:div>
        <w:div w:id="1449665142">
          <w:marLeft w:val="0"/>
          <w:marRight w:val="0"/>
          <w:marTop w:val="0"/>
          <w:marBottom w:val="0"/>
          <w:divBdr>
            <w:top w:val="none" w:sz="0" w:space="0" w:color="auto"/>
            <w:left w:val="none" w:sz="0" w:space="0" w:color="auto"/>
            <w:bottom w:val="none" w:sz="0" w:space="0" w:color="auto"/>
            <w:right w:val="none" w:sz="0" w:space="0" w:color="auto"/>
          </w:divBdr>
        </w:div>
      </w:divsChild>
    </w:div>
    <w:div w:id="882714929">
      <w:bodyDiv w:val="1"/>
      <w:marLeft w:val="0"/>
      <w:marRight w:val="0"/>
      <w:marTop w:val="0"/>
      <w:marBottom w:val="0"/>
      <w:divBdr>
        <w:top w:val="none" w:sz="0" w:space="0" w:color="auto"/>
        <w:left w:val="none" w:sz="0" w:space="0" w:color="auto"/>
        <w:bottom w:val="none" w:sz="0" w:space="0" w:color="auto"/>
        <w:right w:val="none" w:sz="0" w:space="0" w:color="auto"/>
      </w:divBdr>
      <w:divsChild>
        <w:div w:id="747535269">
          <w:marLeft w:val="0"/>
          <w:marRight w:val="0"/>
          <w:marTop w:val="0"/>
          <w:marBottom w:val="0"/>
          <w:divBdr>
            <w:top w:val="none" w:sz="0" w:space="0" w:color="auto"/>
            <w:left w:val="none" w:sz="0" w:space="0" w:color="auto"/>
            <w:bottom w:val="none" w:sz="0" w:space="0" w:color="auto"/>
            <w:right w:val="none" w:sz="0" w:space="0" w:color="auto"/>
          </w:divBdr>
        </w:div>
        <w:div w:id="619537323">
          <w:marLeft w:val="0"/>
          <w:marRight w:val="0"/>
          <w:marTop w:val="0"/>
          <w:marBottom w:val="0"/>
          <w:divBdr>
            <w:top w:val="none" w:sz="0" w:space="0" w:color="auto"/>
            <w:left w:val="none" w:sz="0" w:space="0" w:color="auto"/>
            <w:bottom w:val="none" w:sz="0" w:space="0" w:color="auto"/>
            <w:right w:val="none" w:sz="0" w:space="0" w:color="auto"/>
          </w:divBdr>
        </w:div>
      </w:divsChild>
    </w:div>
    <w:div w:id="934241103">
      <w:bodyDiv w:val="1"/>
      <w:marLeft w:val="0"/>
      <w:marRight w:val="0"/>
      <w:marTop w:val="0"/>
      <w:marBottom w:val="0"/>
      <w:divBdr>
        <w:top w:val="none" w:sz="0" w:space="0" w:color="auto"/>
        <w:left w:val="none" w:sz="0" w:space="0" w:color="auto"/>
        <w:bottom w:val="none" w:sz="0" w:space="0" w:color="auto"/>
        <w:right w:val="none" w:sz="0" w:space="0" w:color="auto"/>
      </w:divBdr>
      <w:divsChild>
        <w:div w:id="290332134">
          <w:marLeft w:val="0"/>
          <w:marRight w:val="0"/>
          <w:marTop w:val="0"/>
          <w:marBottom w:val="0"/>
          <w:divBdr>
            <w:top w:val="none" w:sz="0" w:space="0" w:color="auto"/>
            <w:left w:val="none" w:sz="0" w:space="0" w:color="auto"/>
            <w:bottom w:val="none" w:sz="0" w:space="0" w:color="auto"/>
            <w:right w:val="none" w:sz="0" w:space="0" w:color="auto"/>
          </w:divBdr>
        </w:div>
        <w:div w:id="475070825">
          <w:marLeft w:val="0"/>
          <w:marRight w:val="0"/>
          <w:marTop w:val="0"/>
          <w:marBottom w:val="0"/>
          <w:divBdr>
            <w:top w:val="none" w:sz="0" w:space="0" w:color="auto"/>
            <w:left w:val="none" w:sz="0" w:space="0" w:color="auto"/>
            <w:bottom w:val="none" w:sz="0" w:space="0" w:color="auto"/>
            <w:right w:val="none" w:sz="0" w:space="0" w:color="auto"/>
          </w:divBdr>
        </w:div>
        <w:div w:id="762996335">
          <w:marLeft w:val="0"/>
          <w:marRight w:val="0"/>
          <w:marTop w:val="0"/>
          <w:marBottom w:val="0"/>
          <w:divBdr>
            <w:top w:val="none" w:sz="0" w:space="0" w:color="auto"/>
            <w:left w:val="none" w:sz="0" w:space="0" w:color="auto"/>
            <w:bottom w:val="none" w:sz="0" w:space="0" w:color="auto"/>
            <w:right w:val="none" w:sz="0" w:space="0" w:color="auto"/>
          </w:divBdr>
        </w:div>
        <w:div w:id="162322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people/don-jones" TargetMode="External"/><Relationship Id="rId3" Type="http://schemas.openxmlformats.org/officeDocument/2006/relationships/settings" Target="settings.xml"/><Relationship Id="rId7" Type="http://schemas.openxmlformats.org/officeDocument/2006/relationships/hyperlink" Target="mailto:donald.jones@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c.uk/people/harvinder-virk" TargetMode="External"/><Relationship Id="rId5" Type="http://schemas.openxmlformats.org/officeDocument/2006/relationships/hyperlink" Target="mailto:Hsv6@leiceste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Finch, Lisa A.</cp:lastModifiedBy>
  <cp:revision>4</cp:revision>
  <dcterms:created xsi:type="dcterms:W3CDTF">2024-11-19T09:24:00Z</dcterms:created>
  <dcterms:modified xsi:type="dcterms:W3CDTF">2024-11-19T10:00:00Z</dcterms:modified>
</cp:coreProperties>
</file>