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D06C76A" w:rsidR="00066C81" w:rsidRPr="00066C81" w:rsidRDefault="007E7720" w:rsidP="00066C81">
            <w:proofErr w:type="spellStart"/>
            <w:r w:rsidRPr="006F21AC">
              <w:rPr>
                <w:rFonts w:cstheme="minorHAnsi"/>
              </w:rPr>
              <w:t>Dr.</w:t>
            </w:r>
            <w:proofErr w:type="spellEnd"/>
            <w:r w:rsidRPr="006F21AC">
              <w:rPr>
                <w:rFonts w:cstheme="minorHAnsi"/>
              </w:rPr>
              <w:t xml:space="preserve"> Roberto Feuda</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7C1A053" w:rsidR="00066C81" w:rsidRPr="00066C81" w:rsidRDefault="007E7720" w:rsidP="00066C81">
            <w:r w:rsidRPr="006F21AC">
              <w:rPr>
                <w:rFonts w:cstheme="minorHAnsi"/>
                <w:color w:val="000000" w:themeColor="text1"/>
              </w:rPr>
              <w:t>Leicester Cancer Research Centre</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6D2CEB9D" w:rsidR="00C97F86" w:rsidRPr="007E7720" w:rsidRDefault="007E7720" w:rsidP="007E7720">
            <w:pPr>
              <w:jc w:val="both"/>
              <w:rPr>
                <w:rFonts w:cstheme="minorHAnsi"/>
                <w:color w:val="000000" w:themeColor="text1"/>
              </w:rPr>
            </w:pPr>
            <w:hyperlink r:id="rId5" w:history="1">
              <w:r w:rsidRPr="00A845BD">
                <w:rPr>
                  <w:rStyle w:val="Hyperlink"/>
                  <w:rFonts w:cstheme="minorHAnsi"/>
                </w:rPr>
                <w:t>Rf190@leicester.ac.uk</w:t>
              </w:r>
            </w:hyperlink>
            <w:r>
              <w:rPr>
                <w:rFonts w:cstheme="minorHAnsi"/>
                <w:color w:val="000000" w:themeColor="text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40BB75F4" w:rsidR="00066C81" w:rsidRDefault="007E7720" w:rsidP="00ED69E6">
            <w:r w:rsidRPr="006F21AC">
              <w:rPr>
                <w:rFonts w:cstheme="minorHAnsi"/>
              </w:rPr>
              <w:t>Prof. Beth Coyle</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E3D9F33" w:rsidR="00066C81" w:rsidRDefault="00F954BA" w:rsidP="00ED69E6">
            <w:r w:rsidRPr="006F21AC">
              <w:rPr>
                <w:rFonts w:cstheme="minorHAnsi"/>
              </w:rPr>
              <w:t>University of Nottingham, Children’s Brain Tumour Research Centre, Biodiscovery Institute</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3E28CBC9" w:rsidR="003A7DAE" w:rsidRPr="00F954BA" w:rsidRDefault="00F954BA" w:rsidP="00F954BA">
            <w:pPr>
              <w:jc w:val="both"/>
              <w:rPr>
                <w:rFonts w:cstheme="minorHAnsi"/>
              </w:rPr>
            </w:pPr>
            <w:hyperlink r:id="rId6" w:history="1">
              <w:r w:rsidRPr="00A845BD">
                <w:rPr>
                  <w:rStyle w:val="Hyperlink"/>
                  <w:rFonts w:cstheme="minorHAnsi"/>
                </w:rPr>
                <w:t>beth.coyle@nottingham.ac.uk</w:t>
              </w:r>
            </w:hyperlink>
            <w:r>
              <w:rPr>
                <w:rFonts w:cstheme="minorHAnsi"/>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F7CA5EF" w:rsidR="00066C81" w:rsidRDefault="00F954BA" w:rsidP="00ED69E6">
            <w:r w:rsidRPr="006F21AC">
              <w:rPr>
                <w:rFonts w:cstheme="minorHAnsi"/>
              </w:rPr>
              <w:t>Analysis of Paediatric Medulloblastoma Cellular Heterogeneity Using Single-cell transcriptomic profiling for improved therapeutic strategies.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C400A18" w14:textId="77777777" w:rsidR="00F954BA" w:rsidRPr="00FD743D" w:rsidRDefault="00F954BA" w:rsidP="00F954BA">
            <w:pPr>
              <w:shd w:val="clear" w:color="auto" w:fill="FFFFFF"/>
              <w:jc w:val="both"/>
              <w:rPr>
                <w:rFonts w:cstheme="minorHAnsi"/>
                <w:color w:val="000000" w:themeColor="text1"/>
                <w:lang w:eastAsia="es-ES"/>
              </w:rPr>
            </w:pPr>
            <w:r w:rsidRPr="00FD743D">
              <w:rPr>
                <w:rFonts w:cstheme="minorHAnsi"/>
                <w:color w:val="000000" w:themeColor="text1"/>
                <w:lang w:eastAsia="es-ES"/>
              </w:rPr>
              <w:t>Brain tumours are the leading cause of cancer-related deaths in children, with medulloblastoma being the most common malignant paediatric brain tumour. Approximately one-third of medulloblastoma patients present with metastasis at diagnosis. Group 3 (G3) subtype, predominant in infants and young children, has the lowest survival rate. Current treatments are highly aggressive and multi-modal, resulting in severe long-term consequences such as cognitive dysfunction, growth impairments, and secondary malignancies for survivors. Advancing therapies for G3 has been hindered by the limited availability of cell models that replicate the G3 tumour microenvironment and insufficient understanding of the molecular composition underlying G3 cellular architecture, which influences treatment outcomes.</w:t>
            </w:r>
          </w:p>
          <w:p w14:paraId="3FD03514" w14:textId="77777777" w:rsidR="00F954BA" w:rsidRPr="00FD743D" w:rsidRDefault="00F954BA" w:rsidP="00F954BA">
            <w:pPr>
              <w:shd w:val="clear" w:color="auto" w:fill="FFFFFF"/>
              <w:jc w:val="both"/>
              <w:rPr>
                <w:rFonts w:cstheme="minorHAnsi"/>
                <w:color w:val="000000" w:themeColor="text1"/>
                <w:lang w:eastAsia="es-ES"/>
              </w:rPr>
            </w:pPr>
          </w:p>
          <w:p w14:paraId="31910B92" w14:textId="77777777" w:rsidR="00F954BA" w:rsidRPr="00FD743D" w:rsidRDefault="00F954BA" w:rsidP="00F954BA">
            <w:pPr>
              <w:shd w:val="clear" w:color="auto" w:fill="FFFFFF"/>
              <w:jc w:val="both"/>
              <w:rPr>
                <w:rFonts w:cstheme="minorHAnsi"/>
                <w:color w:val="000000" w:themeColor="text1"/>
                <w:lang w:eastAsia="es-ES"/>
              </w:rPr>
            </w:pPr>
            <w:r w:rsidRPr="00FD743D">
              <w:rPr>
                <w:rFonts w:cstheme="minorHAnsi"/>
                <w:color w:val="000000" w:themeColor="text1"/>
                <w:lang w:eastAsia="es-ES"/>
              </w:rPr>
              <w:t>The aims of this project are to:</w:t>
            </w:r>
          </w:p>
          <w:p w14:paraId="2475A892" w14:textId="77777777" w:rsidR="00F954BA" w:rsidRPr="00FD743D" w:rsidRDefault="00F954BA" w:rsidP="00F954BA">
            <w:pPr>
              <w:shd w:val="clear" w:color="auto" w:fill="FFFFFF"/>
              <w:jc w:val="both"/>
              <w:rPr>
                <w:rFonts w:cstheme="minorHAnsi"/>
                <w:color w:val="000000" w:themeColor="text1"/>
                <w:lang w:eastAsia="es-ES"/>
              </w:rPr>
            </w:pPr>
          </w:p>
          <w:p w14:paraId="50D0BC49" w14:textId="77777777" w:rsidR="00F954BA" w:rsidRPr="00FD743D" w:rsidRDefault="00F954BA" w:rsidP="00F954BA">
            <w:pPr>
              <w:shd w:val="clear" w:color="auto" w:fill="FFFFFF"/>
              <w:jc w:val="both"/>
              <w:rPr>
                <w:rFonts w:cstheme="minorHAnsi"/>
                <w:color w:val="000000" w:themeColor="text1"/>
                <w:lang w:eastAsia="es-ES"/>
              </w:rPr>
            </w:pPr>
            <w:r w:rsidRPr="00FD743D">
              <w:rPr>
                <w:rFonts w:cstheme="minorHAnsi"/>
                <w:color w:val="000000" w:themeColor="text1"/>
                <w:lang w:eastAsia="es-ES"/>
              </w:rPr>
              <w:t>1. Use single-cell technology to characterise the clonal landscape and regulatory networks driving G3 metastasis, chemosensitivity, and relapse in next-generation 3D preclinical tumour models.</w:t>
            </w:r>
          </w:p>
          <w:p w14:paraId="72D40ECA" w14:textId="77777777" w:rsidR="00F954BA" w:rsidRPr="00FD743D" w:rsidRDefault="00F954BA" w:rsidP="00F954BA">
            <w:pPr>
              <w:shd w:val="clear" w:color="auto" w:fill="FFFFFF"/>
              <w:jc w:val="both"/>
              <w:rPr>
                <w:rFonts w:cstheme="minorHAnsi"/>
                <w:color w:val="000000" w:themeColor="text1"/>
                <w:lang w:eastAsia="es-ES"/>
              </w:rPr>
            </w:pPr>
            <w:r w:rsidRPr="00FD743D">
              <w:rPr>
                <w:rFonts w:cstheme="minorHAnsi"/>
                <w:color w:val="000000" w:themeColor="text1"/>
                <w:lang w:eastAsia="es-ES"/>
              </w:rPr>
              <w:t>2. Identify predictive biomarkers and gene targets for improving G3 clinical treatment.</w:t>
            </w:r>
          </w:p>
          <w:p w14:paraId="4C484628" w14:textId="77777777" w:rsidR="00F954BA" w:rsidRPr="00FD743D" w:rsidRDefault="00F954BA" w:rsidP="00F954BA">
            <w:pPr>
              <w:shd w:val="clear" w:color="auto" w:fill="FFFFFF"/>
              <w:jc w:val="both"/>
              <w:rPr>
                <w:rFonts w:cstheme="minorHAnsi"/>
                <w:color w:val="000000" w:themeColor="text1"/>
                <w:lang w:eastAsia="es-ES"/>
              </w:rPr>
            </w:pPr>
          </w:p>
          <w:p w14:paraId="0BB8403B" w14:textId="77777777" w:rsidR="00F954BA" w:rsidRPr="00FD743D" w:rsidRDefault="00F954BA" w:rsidP="00F954BA">
            <w:pPr>
              <w:shd w:val="clear" w:color="auto" w:fill="FFFFFF"/>
              <w:jc w:val="both"/>
              <w:rPr>
                <w:rFonts w:cstheme="minorHAnsi"/>
                <w:color w:val="000000" w:themeColor="text1"/>
                <w:lang w:eastAsia="es-ES"/>
              </w:rPr>
            </w:pPr>
            <w:r w:rsidRPr="00FD743D">
              <w:rPr>
                <w:rFonts w:cstheme="minorHAnsi"/>
                <w:color w:val="000000" w:themeColor="text1"/>
                <w:lang w:eastAsia="es-ES"/>
              </w:rPr>
              <w:t>This high-impact research opportunity bridges advanced biology and clinical medicine. The student will gain exceptional technical skills through training within a cross-disciplinary supervisory team, contributing significantly to novel therapeutic advancements. While led by the University of Leicester, the student will also collaborate at the University of Nottingham to develop 3D in-vitro tumour models.</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2EF2E621" w14:textId="77777777" w:rsidR="00F954BA" w:rsidRPr="00DD1664" w:rsidRDefault="00F954BA" w:rsidP="00F954BA">
            <w:pPr>
              <w:pStyle w:val="Bibliography"/>
              <w:jc w:val="both"/>
            </w:pPr>
            <w:r w:rsidRPr="006F21AC">
              <w:rPr>
                <w:rFonts w:cstheme="minorHAnsi"/>
              </w:rPr>
              <w:fldChar w:fldCharType="begin"/>
            </w:r>
            <w:r w:rsidRPr="006F21AC">
              <w:rPr>
                <w:rFonts w:cstheme="minorHAnsi"/>
              </w:rPr>
              <w:instrText xml:space="preserve"> ADDIN ZOTERO_BIBL {"uncited":[],"omitted":[],"custom":[]} CSL_BIBLIOGRAPHY </w:instrText>
            </w:r>
            <w:r w:rsidRPr="006F21AC">
              <w:rPr>
                <w:rFonts w:cstheme="minorHAnsi"/>
              </w:rPr>
              <w:fldChar w:fldCharType="separate"/>
            </w:r>
            <w:r w:rsidRPr="00DD1664">
              <w:t>1.</w:t>
            </w:r>
            <w:r w:rsidRPr="00DD1664">
              <w:tab/>
            </w:r>
            <w:proofErr w:type="spellStart"/>
            <w:r w:rsidRPr="00DD1664">
              <w:t>Juraschka</w:t>
            </w:r>
            <w:proofErr w:type="spellEnd"/>
            <w:r w:rsidRPr="00DD1664">
              <w:t>, K. &amp; Taylor, M. D. Medulloblastoma in the age of molecular subgroups: a review. (2019) doi:10.3171/2019.</w:t>
            </w:r>
            <w:proofErr w:type="gramStart"/>
            <w:r w:rsidRPr="00DD1664">
              <w:t>5.PEDS</w:t>
            </w:r>
            <w:proofErr w:type="gramEnd"/>
            <w:r w:rsidRPr="00DD1664">
              <w:t>18381.</w:t>
            </w:r>
          </w:p>
          <w:p w14:paraId="37734872" w14:textId="77777777" w:rsidR="00F954BA" w:rsidRPr="00DD1664" w:rsidRDefault="00F954BA" w:rsidP="00F954BA">
            <w:pPr>
              <w:pStyle w:val="Bibliography"/>
              <w:jc w:val="both"/>
            </w:pPr>
            <w:r w:rsidRPr="00DD1664">
              <w:t>2.</w:t>
            </w:r>
            <w:r w:rsidRPr="00DD1664">
              <w:tab/>
            </w:r>
            <w:proofErr w:type="spellStart"/>
            <w:r w:rsidRPr="00DD1664">
              <w:t>Linke</w:t>
            </w:r>
            <w:proofErr w:type="spellEnd"/>
            <w:r w:rsidRPr="00DD1664">
              <w:t xml:space="preserve">, F. </w:t>
            </w:r>
            <w:r w:rsidRPr="00DD1664">
              <w:rPr>
                <w:i/>
                <w:iCs/>
              </w:rPr>
              <w:t>et al.</w:t>
            </w:r>
            <w:r w:rsidRPr="00DD1664">
              <w:t xml:space="preserve"> 3D hydrogels reveal medulloblastoma subgroup differences and identify extracellular matrix subtypes that predict patient outcome. </w:t>
            </w:r>
            <w:r w:rsidRPr="00DD1664">
              <w:rPr>
                <w:i/>
                <w:iCs/>
              </w:rPr>
              <w:t>The Journal of Pathology</w:t>
            </w:r>
            <w:r w:rsidRPr="00DD1664">
              <w:t xml:space="preserve"> </w:t>
            </w:r>
            <w:r w:rsidRPr="00DD1664">
              <w:rPr>
                <w:b/>
                <w:bCs/>
              </w:rPr>
              <w:t>253</w:t>
            </w:r>
            <w:r w:rsidRPr="00DD1664">
              <w:t>, 326–338 (2021).</w:t>
            </w:r>
          </w:p>
          <w:p w14:paraId="5CAF09B1" w14:textId="77777777" w:rsidR="00F954BA" w:rsidRPr="00DD1664" w:rsidRDefault="00F954BA" w:rsidP="00F954BA">
            <w:pPr>
              <w:pStyle w:val="Bibliography"/>
              <w:jc w:val="both"/>
            </w:pPr>
            <w:r w:rsidRPr="00DD1664">
              <w:t>3.</w:t>
            </w:r>
            <w:r w:rsidRPr="00DD1664">
              <w:tab/>
            </w:r>
            <w:proofErr w:type="spellStart"/>
            <w:r w:rsidRPr="00DD1664">
              <w:t>Danilenko</w:t>
            </w:r>
            <w:proofErr w:type="spellEnd"/>
            <w:r w:rsidRPr="00DD1664">
              <w:t xml:space="preserve">, M. </w:t>
            </w:r>
            <w:r w:rsidRPr="00DD1664">
              <w:rPr>
                <w:i/>
                <w:iCs/>
              </w:rPr>
              <w:t>et al.</w:t>
            </w:r>
            <w:r w:rsidRPr="00DD1664">
              <w:t xml:space="preserve"> Single-cell DNA sequencing identifies risk-associated clonal complexity and evolutionary trajectories in childhood medulloblastoma development. </w:t>
            </w:r>
            <w:r w:rsidRPr="00DD1664">
              <w:rPr>
                <w:i/>
                <w:iCs/>
              </w:rPr>
              <w:t xml:space="preserve">Acta </w:t>
            </w:r>
            <w:proofErr w:type="spellStart"/>
            <w:r w:rsidRPr="00DD1664">
              <w:rPr>
                <w:i/>
                <w:iCs/>
              </w:rPr>
              <w:t>Neuropathol</w:t>
            </w:r>
            <w:proofErr w:type="spellEnd"/>
            <w:r w:rsidRPr="00DD1664">
              <w:t xml:space="preserve"> </w:t>
            </w:r>
            <w:r w:rsidRPr="00DD1664">
              <w:rPr>
                <w:b/>
                <w:bCs/>
              </w:rPr>
              <w:t>144</w:t>
            </w:r>
            <w:r w:rsidRPr="00DD1664">
              <w:t>, 565–578 (2022).</w:t>
            </w:r>
          </w:p>
          <w:p w14:paraId="4213A1B1" w14:textId="77777777" w:rsidR="00F954BA" w:rsidRPr="00DD1664" w:rsidRDefault="00F954BA" w:rsidP="00F954BA">
            <w:pPr>
              <w:pStyle w:val="Bibliography"/>
              <w:jc w:val="both"/>
            </w:pPr>
            <w:r w:rsidRPr="00DD1664">
              <w:t>4.</w:t>
            </w:r>
            <w:r w:rsidRPr="00DD1664">
              <w:tab/>
            </w:r>
            <w:proofErr w:type="spellStart"/>
            <w:r w:rsidRPr="00DD1664">
              <w:t>Hovestadt</w:t>
            </w:r>
            <w:proofErr w:type="spellEnd"/>
            <w:r w:rsidRPr="00DD1664">
              <w:t xml:space="preserve">, V. </w:t>
            </w:r>
            <w:r w:rsidRPr="00DD1664">
              <w:rPr>
                <w:i/>
                <w:iCs/>
              </w:rPr>
              <w:t>et al.</w:t>
            </w:r>
            <w:r w:rsidRPr="00DD1664">
              <w:t xml:space="preserve"> Resolving medulloblastoma cellular architecture by single-cell genomics. </w:t>
            </w:r>
            <w:r w:rsidRPr="00DD1664">
              <w:rPr>
                <w:i/>
                <w:iCs/>
              </w:rPr>
              <w:t>Nature</w:t>
            </w:r>
            <w:r w:rsidRPr="00DD1664">
              <w:t xml:space="preserve"> </w:t>
            </w:r>
            <w:r w:rsidRPr="00DD1664">
              <w:rPr>
                <w:b/>
                <w:bCs/>
              </w:rPr>
              <w:t>572</w:t>
            </w:r>
            <w:r w:rsidRPr="00DD1664">
              <w:t>, 74–79 (2019).</w:t>
            </w:r>
          </w:p>
          <w:p w14:paraId="062EEDB4" w14:textId="77777777" w:rsidR="00F954BA" w:rsidRPr="00DD1664" w:rsidRDefault="00F954BA" w:rsidP="00F954BA">
            <w:pPr>
              <w:pStyle w:val="Bibliography"/>
              <w:jc w:val="both"/>
            </w:pPr>
            <w:r w:rsidRPr="00DD1664">
              <w:t>5.</w:t>
            </w:r>
            <w:r w:rsidRPr="00DD1664">
              <w:tab/>
            </w:r>
            <w:proofErr w:type="spellStart"/>
            <w:r w:rsidRPr="00DD1664">
              <w:t>Maizels</w:t>
            </w:r>
            <w:proofErr w:type="spellEnd"/>
            <w:r w:rsidRPr="00DD1664">
              <w:t xml:space="preserve">, R. J., Snell, D. M. &amp; Briscoe, J. Reconstructing developmental trajectories using latent dynamical systems and time-resolved transcriptomics. </w:t>
            </w:r>
            <w:r w:rsidRPr="00DD1664">
              <w:rPr>
                <w:i/>
                <w:iCs/>
              </w:rPr>
              <w:t>Cell Systems</w:t>
            </w:r>
            <w:r w:rsidRPr="00DD1664">
              <w:t xml:space="preserve"> </w:t>
            </w:r>
            <w:r w:rsidRPr="00DD1664">
              <w:rPr>
                <w:b/>
                <w:bCs/>
              </w:rPr>
              <w:t>15</w:t>
            </w:r>
            <w:r w:rsidRPr="00DD1664">
              <w:t>, 411–424 (2024).</w:t>
            </w:r>
          </w:p>
          <w:p w14:paraId="5161C32B" w14:textId="77777777" w:rsidR="00F954BA" w:rsidRPr="00DD1664" w:rsidRDefault="00F954BA" w:rsidP="00F954BA">
            <w:pPr>
              <w:pStyle w:val="Bibliography"/>
              <w:jc w:val="both"/>
            </w:pPr>
            <w:r w:rsidRPr="00DD1664">
              <w:lastRenderedPageBreak/>
              <w:t>6.</w:t>
            </w:r>
            <w:r w:rsidRPr="00DD1664">
              <w:tab/>
            </w:r>
            <w:proofErr w:type="spellStart"/>
            <w:r w:rsidRPr="00DD1664">
              <w:t>Maizels</w:t>
            </w:r>
            <w:proofErr w:type="spellEnd"/>
            <w:r w:rsidRPr="00DD1664">
              <w:t xml:space="preserve">, R. J., Snell, D. M. &amp; Briscoe, J. A protocol for time-resolved transcriptomics through metabolic </w:t>
            </w:r>
            <w:proofErr w:type="spellStart"/>
            <w:r w:rsidRPr="00DD1664">
              <w:t>labeling</w:t>
            </w:r>
            <w:proofErr w:type="spellEnd"/>
            <w:r w:rsidRPr="00DD1664">
              <w:t xml:space="preserve"> and combinatorial indexing. </w:t>
            </w:r>
            <w:r w:rsidRPr="00DD1664">
              <w:rPr>
                <w:i/>
                <w:iCs/>
              </w:rPr>
              <w:t>STAR Protocols</w:t>
            </w:r>
            <w:r w:rsidRPr="00DD1664">
              <w:t xml:space="preserve"> </w:t>
            </w:r>
            <w:r w:rsidRPr="00DD1664">
              <w:rPr>
                <w:b/>
                <w:bCs/>
              </w:rPr>
              <w:t>5</w:t>
            </w:r>
            <w:r w:rsidRPr="00DD1664">
              <w:t>, 103356 (2024).</w:t>
            </w:r>
          </w:p>
          <w:p w14:paraId="2E892BFA" w14:textId="77777777" w:rsidR="00F954BA" w:rsidRPr="00DD1664" w:rsidRDefault="00F954BA" w:rsidP="00F954BA">
            <w:pPr>
              <w:pStyle w:val="Bibliography"/>
              <w:jc w:val="both"/>
            </w:pPr>
            <w:r w:rsidRPr="00DD1664">
              <w:t>7.</w:t>
            </w:r>
            <w:r w:rsidRPr="00DD1664">
              <w:tab/>
            </w:r>
            <w:proofErr w:type="spellStart"/>
            <w:r w:rsidRPr="00DD1664">
              <w:t>Rzasa</w:t>
            </w:r>
            <w:proofErr w:type="spellEnd"/>
            <w:r w:rsidRPr="00DD1664">
              <w:t xml:space="preserve">, P. </w:t>
            </w:r>
            <w:r w:rsidRPr="00DD1664">
              <w:rPr>
                <w:i/>
                <w:iCs/>
              </w:rPr>
              <w:t>et al.</w:t>
            </w:r>
            <w:r w:rsidRPr="00DD1664">
              <w:t xml:space="preserve"> BRAFV600E-mutated serrated colorectal neoplasia drives transcriptional activation of cholesterol metabolism. </w:t>
            </w:r>
            <w:proofErr w:type="spellStart"/>
            <w:r w:rsidRPr="00DD1664">
              <w:rPr>
                <w:i/>
                <w:iCs/>
              </w:rPr>
              <w:t>Commun</w:t>
            </w:r>
            <w:proofErr w:type="spellEnd"/>
            <w:r w:rsidRPr="00DD1664">
              <w:rPr>
                <w:i/>
                <w:iCs/>
              </w:rPr>
              <w:t xml:space="preserve"> </w:t>
            </w:r>
            <w:proofErr w:type="spellStart"/>
            <w:r w:rsidRPr="00DD1664">
              <w:rPr>
                <w:i/>
                <w:iCs/>
              </w:rPr>
              <w:t>Biol</w:t>
            </w:r>
            <w:proofErr w:type="spellEnd"/>
            <w:r w:rsidRPr="00DD1664">
              <w:t xml:space="preserve"> </w:t>
            </w:r>
            <w:r w:rsidRPr="00DD1664">
              <w:rPr>
                <w:b/>
                <w:bCs/>
              </w:rPr>
              <w:t>6</w:t>
            </w:r>
            <w:r w:rsidRPr="00DD1664">
              <w:t>, 1–16 (2023).</w:t>
            </w:r>
          </w:p>
          <w:p w14:paraId="5F68EA1D" w14:textId="77777777" w:rsidR="00F954BA" w:rsidRPr="00DD1664" w:rsidRDefault="00F954BA" w:rsidP="00F954BA">
            <w:pPr>
              <w:pStyle w:val="Bibliography"/>
              <w:jc w:val="both"/>
            </w:pPr>
            <w:r w:rsidRPr="00DD1664">
              <w:t>8.</w:t>
            </w:r>
            <w:r w:rsidRPr="00DD1664">
              <w:tab/>
              <w:t xml:space="preserve">Bravo González-Blas, C. </w:t>
            </w:r>
            <w:r w:rsidRPr="00DD1664">
              <w:rPr>
                <w:i/>
                <w:iCs/>
              </w:rPr>
              <w:t>et al.</w:t>
            </w:r>
            <w:r w:rsidRPr="00DD1664">
              <w:t xml:space="preserve"> SCENIC+: single-cell </w:t>
            </w:r>
            <w:proofErr w:type="spellStart"/>
            <w:r w:rsidRPr="00DD1664">
              <w:t>multiomic</w:t>
            </w:r>
            <w:proofErr w:type="spellEnd"/>
            <w:r w:rsidRPr="00DD1664">
              <w:t xml:space="preserve"> inference of enhancers and gene regulatory networks. </w:t>
            </w:r>
            <w:r w:rsidRPr="00DD1664">
              <w:rPr>
                <w:i/>
                <w:iCs/>
              </w:rPr>
              <w:t>Nat Methods</w:t>
            </w:r>
            <w:r w:rsidRPr="00DD1664">
              <w:t xml:space="preserve"> </w:t>
            </w:r>
            <w:r w:rsidRPr="00DD1664">
              <w:rPr>
                <w:b/>
                <w:bCs/>
              </w:rPr>
              <w:t>20</w:t>
            </w:r>
            <w:r w:rsidRPr="00DD1664">
              <w:t>, 1355–1367 (2023).</w:t>
            </w:r>
          </w:p>
          <w:p w14:paraId="56EA41A3" w14:textId="77777777" w:rsidR="00F954BA" w:rsidRPr="00DD1664" w:rsidRDefault="00F954BA" w:rsidP="00F954BA">
            <w:pPr>
              <w:pStyle w:val="Bibliography"/>
              <w:jc w:val="both"/>
            </w:pPr>
            <w:r w:rsidRPr="00DD1664">
              <w:t>9.</w:t>
            </w:r>
            <w:r w:rsidRPr="00DD1664">
              <w:tab/>
            </w:r>
            <w:proofErr w:type="spellStart"/>
            <w:r w:rsidRPr="00DD1664">
              <w:t>Aldinger</w:t>
            </w:r>
            <w:proofErr w:type="spellEnd"/>
            <w:r w:rsidRPr="00DD1664">
              <w:t xml:space="preserve">, K. A. </w:t>
            </w:r>
            <w:r w:rsidRPr="00DD1664">
              <w:rPr>
                <w:i/>
                <w:iCs/>
              </w:rPr>
              <w:t>et al.</w:t>
            </w:r>
            <w:r w:rsidRPr="00DD1664">
              <w:t xml:space="preserve"> Spatial and cell type transcriptional landscape of human cerebellar development. </w:t>
            </w:r>
            <w:r w:rsidRPr="00DD1664">
              <w:rPr>
                <w:i/>
                <w:iCs/>
              </w:rPr>
              <w:t xml:space="preserve">Nat </w:t>
            </w:r>
            <w:proofErr w:type="spellStart"/>
            <w:r w:rsidRPr="00DD1664">
              <w:rPr>
                <w:i/>
                <w:iCs/>
              </w:rPr>
              <w:t>Neurosci</w:t>
            </w:r>
            <w:proofErr w:type="spellEnd"/>
            <w:r w:rsidRPr="00DD1664">
              <w:t xml:space="preserve"> </w:t>
            </w:r>
            <w:r w:rsidRPr="00DD1664">
              <w:rPr>
                <w:b/>
                <w:bCs/>
              </w:rPr>
              <w:t>24</w:t>
            </w:r>
            <w:r w:rsidRPr="00DD1664">
              <w:t>, 1163–1175 (2021).</w:t>
            </w:r>
          </w:p>
          <w:p w14:paraId="73E4E1A7" w14:textId="77777777" w:rsidR="00F954BA" w:rsidRPr="00DD1664" w:rsidRDefault="00F954BA" w:rsidP="00F954BA">
            <w:pPr>
              <w:pStyle w:val="Bibliography"/>
              <w:jc w:val="both"/>
            </w:pPr>
            <w:r w:rsidRPr="00DD1664">
              <w:t>10.</w:t>
            </w:r>
            <w:r w:rsidRPr="00DD1664">
              <w:tab/>
            </w:r>
            <w:proofErr w:type="spellStart"/>
            <w:r w:rsidRPr="00DD1664">
              <w:t>Oesper</w:t>
            </w:r>
            <w:proofErr w:type="spellEnd"/>
            <w:r w:rsidRPr="00DD1664">
              <w:t xml:space="preserve">, L., </w:t>
            </w:r>
            <w:proofErr w:type="spellStart"/>
            <w:r w:rsidRPr="00DD1664">
              <w:t>Satas</w:t>
            </w:r>
            <w:proofErr w:type="spellEnd"/>
            <w:r w:rsidRPr="00DD1664">
              <w:t xml:space="preserve">, G. &amp; Raphael, B. J. Quantifying </w:t>
            </w:r>
            <w:proofErr w:type="spellStart"/>
            <w:r w:rsidRPr="00DD1664">
              <w:t>tumor</w:t>
            </w:r>
            <w:proofErr w:type="spellEnd"/>
            <w:r w:rsidRPr="00DD1664">
              <w:t xml:space="preserve"> heterogeneity in whole-genome and whole-exome sequencing data. </w:t>
            </w:r>
            <w:r w:rsidRPr="00DD1664">
              <w:rPr>
                <w:i/>
                <w:iCs/>
              </w:rPr>
              <w:t>Bioinformatics</w:t>
            </w:r>
            <w:r w:rsidRPr="00DD1664">
              <w:t xml:space="preserve"> </w:t>
            </w:r>
            <w:r w:rsidRPr="00DD1664">
              <w:rPr>
                <w:b/>
                <w:bCs/>
              </w:rPr>
              <w:t>30</w:t>
            </w:r>
            <w:r w:rsidRPr="00DD1664">
              <w:t>, 3532–3540 (2014).</w:t>
            </w:r>
          </w:p>
          <w:p w14:paraId="2EB1C2E6" w14:textId="77777777" w:rsidR="00F954BA" w:rsidRPr="00DD1664" w:rsidRDefault="00F954BA" w:rsidP="00F954BA">
            <w:pPr>
              <w:pStyle w:val="Bibliography"/>
              <w:jc w:val="both"/>
            </w:pPr>
            <w:r w:rsidRPr="00DD1664">
              <w:t>11.</w:t>
            </w:r>
            <w:r w:rsidRPr="00DD1664">
              <w:tab/>
              <w:t xml:space="preserve">A, S. H., </w:t>
            </w:r>
            <w:proofErr w:type="spellStart"/>
            <w:r w:rsidRPr="00DD1664">
              <w:t>Ao</w:t>
            </w:r>
            <w:proofErr w:type="spellEnd"/>
            <w:r w:rsidRPr="00DD1664">
              <w:t xml:space="preserve">, H. &amp; X, Z. </w:t>
            </w:r>
            <w:proofErr w:type="spellStart"/>
            <w:r w:rsidRPr="00DD1664">
              <w:t>CaSpER</w:t>
            </w:r>
            <w:proofErr w:type="spellEnd"/>
            <w:r w:rsidRPr="00DD1664">
              <w:t xml:space="preserve"> identifies and visualizes CNV events by integrative analysis of single-cell or bulk RNA-sequencing data. </w:t>
            </w:r>
            <w:r w:rsidRPr="00DD1664">
              <w:rPr>
                <w:i/>
                <w:iCs/>
              </w:rPr>
              <w:t>Nature communications</w:t>
            </w:r>
            <w:r w:rsidRPr="00DD1664">
              <w:t xml:space="preserve"> </w:t>
            </w:r>
            <w:r w:rsidRPr="00DD1664">
              <w:rPr>
                <w:b/>
                <w:bCs/>
              </w:rPr>
              <w:t>11</w:t>
            </w:r>
            <w:r w:rsidRPr="00DD1664">
              <w:t>, (2020).</w:t>
            </w:r>
          </w:p>
          <w:p w14:paraId="748EB583" w14:textId="77777777" w:rsidR="00F954BA" w:rsidRPr="00DD1664" w:rsidRDefault="00F954BA" w:rsidP="00F954BA">
            <w:pPr>
              <w:pStyle w:val="Bibliography"/>
              <w:jc w:val="both"/>
            </w:pPr>
            <w:r w:rsidRPr="00DD1664">
              <w:t>12.</w:t>
            </w:r>
            <w:r w:rsidRPr="00DD1664">
              <w:tab/>
              <w:t xml:space="preserve">Roth, A. </w:t>
            </w:r>
            <w:r w:rsidRPr="00DD1664">
              <w:rPr>
                <w:i/>
                <w:iCs/>
              </w:rPr>
              <w:t>et al.</w:t>
            </w:r>
            <w:r w:rsidRPr="00DD1664">
              <w:t xml:space="preserve"> </w:t>
            </w:r>
            <w:proofErr w:type="spellStart"/>
            <w:r w:rsidRPr="00DD1664">
              <w:t>PyClone</w:t>
            </w:r>
            <w:proofErr w:type="spellEnd"/>
            <w:r w:rsidRPr="00DD1664">
              <w:t xml:space="preserve">: Statistical inference of clonal population structure in cancer. </w:t>
            </w:r>
            <w:r w:rsidRPr="00DD1664">
              <w:rPr>
                <w:i/>
                <w:iCs/>
              </w:rPr>
              <w:t>Nat Methods</w:t>
            </w:r>
            <w:r w:rsidRPr="00DD1664">
              <w:t xml:space="preserve"> </w:t>
            </w:r>
            <w:r w:rsidRPr="00DD1664">
              <w:rPr>
                <w:b/>
                <w:bCs/>
              </w:rPr>
              <w:t>11</w:t>
            </w:r>
            <w:r w:rsidRPr="00DD1664">
              <w:t>, 396–398 (2014).</w:t>
            </w:r>
          </w:p>
          <w:p w14:paraId="21D65921" w14:textId="77777777" w:rsidR="00F954BA" w:rsidRPr="00DD1664" w:rsidRDefault="00F954BA" w:rsidP="00F954BA">
            <w:pPr>
              <w:pStyle w:val="Bibliography"/>
              <w:jc w:val="both"/>
            </w:pPr>
            <w:r w:rsidRPr="00DD1664">
              <w:t>13.</w:t>
            </w:r>
            <w:r w:rsidRPr="00DD1664">
              <w:tab/>
            </w:r>
            <w:proofErr w:type="spellStart"/>
            <w:r w:rsidRPr="00DD1664">
              <w:t>Iorio</w:t>
            </w:r>
            <w:proofErr w:type="spellEnd"/>
            <w:r w:rsidRPr="00DD1664">
              <w:t xml:space="preserve">, F. </w:t>
            </w:r>
            <w:r w:rsidRPr="00DD1664">
              <w:rPr>
                <w:i/>
                <w:iCs/>
              </w:rPr>
              <w:t>et al.</w:t>
            </w:r>
            <w:r w:rsidRPr="00DD1664">
              <w:t xml:space="preserve"> A Landscape of Pharmacogenomic Interactions in Cancer. </w:t>
            </w:r>
            <w:r w:rsidRPr="00DD1664">
              <w:rPr>
                <w:i/>
                <w:iCs/>
              </w:rPr>
              <w:t>Cell</w:t>
            </w:r>
            <w:r w:rsidRPr="00DD1664">
              <w:t xml:space="preserve"> </w:t>
            </w:r>
            <w:r w:rsidRPr="00DD1664">
              <w:rPr>
                <w:b/>
                <w:bCs/>
              </w:rPr>
              <w:t>166</w:t>
            </w:r>
            <w:r w:rsidRPr="00DD1664">
              <w:t>, 740–754 (2016).</w:t>
            </w:r>
          </w:p>
          <w:p w14:paraId="37260840" w14:textId="77777777" w:rsidR="00F954BA" w:rsidRPr="00DD1664" w:rsidRDefault="00F954BA" w:rsidP="00F954BA">
            <w:pPr>
              <w:pStyle w:val="Bibliography"/>
              <w:jc w:val="both"/>
            </w:pPr>
            <w:r w:rsidRPr="00DD1664">
              <w:t>14.</w:t>
            </w:r>
            <w:r w:rsidRPr="00DD1664">
              <w:tab/>
              <w:t xml:space="preserve">Tate, J. G. </w:t>
            </w:r>
            <w:r w:rsidRPr="00DD1664">
              <w:rPr>
                <w:i/>
                <w:iCs/>
              </w:rPr>
              <w:t>et al.</w:t>
            </w:r>
            <w:r w:rsidRPr="00DD1664">
              <w:t xml:space="preserve"> COSMIC: the Catalogue </w:t>
            </w:r>
            <w:proofErr w:type="gramStart"/>
            <w:r w:rsidRPr="00DD1664">
              <w:t>Of</w:t>
            </w:r>
            <w:proofErr w:type="gramEnd"/>
            <w:r w:rsidRPr="00DD1664">
              <w:t xml:space="preserve"> Somatic Mutations In Cancer. </w:t>
            </w:r>
            <w:r w:rsidRPr="00DD1664">
              <w:rPr>
                <w:i/>
                <w:iCs/>
              </w:rPr>
              <w:t>Nucleic Acids Res</w:t>
            </w:r>
            <w:r w:rsidRPr="00DD1664">
              <w:t xml:space="preserve"> </w:t>
            </w:r>
            <w:r w:rsidRPr="00DD1664">
              <w:rPr>
                <w:b/>
                <w:bCs/>
              </w:rPr>
              <w:t>47</w:t>
            </w:r>
            <w:r w:rsidRPr="00DD1664">
              <w:t>, D941–D947 (2019).</w:t>
            </w:r>
          </w:p>
          <w:p w14:paraId="4917611B" w14:textId="77777777" w:rsidR="00F954BA" w:rsidRPr="00DD1664" w:rsidRDefault="00F954BA" w:rsidP="00F954BA">
            <w:pPr>
              <w:pStyle w:val="Bibliography"/>
              <w:jc w:val="both"/>
            </w:pPr>
            <w:r w:rsidRPr="00DD1664">
              <w:t>15.</w:t>
            </w:r>
            <w:r w:rsidRPr="00DD1664">
              <w:tab/>
              <w:t xml:space="preserve">Chakravarty, D. </w:t>
            </w:r>
            <w:r w:rsidRPr="00DD1664">
              <w:rPr>
                <w:i/>
                <w:iCs/>
              </w:rPr>
              <w:t>et al.</w:t>
            </w:r>
            <w:r w:rsidRPr="00DD1664">
              <w:t xml:space="preserve"> </w:t>
            </w:r>
            <w:proofErr w:type="spellStart"/>
            <w:r w:rsidRPr="00DD1664">
              <w:t>OncoKB</w:t>
            </w:r>
            <w:proofErr w:type="spellEnd"/>
            <w:r w:rsidRPr="00DD1664">
              <w:t xml:space="preserve">: A Precision Oncology Knowledge Base. </w:t>
            </w:r>
            <w:r w:rsidRPr="00DD1664">
              <w:rPr>
                <w:i/>
                <w:iCs/>
              </w:rPr>
              <w:t>JCO Precis Oncol</w:t>
            </w:r>
            <w:r w:rsidRPr="00DD1664">
              <w:t xml:space="preserve"> </w:t>
            </w:r>
            <w:r w:rsidRPr="00DD1664">
              <w:rPr>
                <w:b/>
                <w:bCs/>
              </w:rPr>
              <w:t>2017</w:t>
            </w:r>
            <w:r w:rsidRPr="00DD1664">
              <w:t>, PO.17.00011 (2017).</w:t>
            </w:r>
          </w:p>
          <w:p w14:paraId="20F52B31" w14:textId="77777777" w:rsidR="00F954BA" w:rsidRPr="00DD1664" w:rsidRDefault="00F954BA" w:rsidP="00F954BA">
            <w:pPr>
              <w:pStyle w:val="Bibliography"/>
              <w:jc w:val="both"/>
            </w:pPr>
            <w:r w:rsidRPr="00DD1664">
              <w:t>16.</w:t>
            </w:r>
            <w:r w:rsidRPr="00DD1664">
              <w:tab/>
            </w:r>
            <w:proofErr w:type="spellStart"/>
            <w:r w:rsidRPr="00DD1664">
              <w:t>Tamborero</w:t>
            </w:r>
            <w:proofErr w:type="spellEnd"/>
            <w:r w:rsidRPr="00DD1664">
              <w:t xml:space="preserve">, D. </w:t>
            </w:r>
            <w:r w:rsidRPr="00DD1664">
              <w:rPr>
                <w:i/>
                <w:iCs/>
              </w:rPr>
              <w:t>et al.</w:t>
            </w:r>
            <w:r w:rsidRPr="00DD1664">
              <w:t xml:space="preserve"> Cancer Genome Interpreter annotates the biological and clinical relevance of </w:t>
            </w:r>
            <w:proofErr w:type="spellStart"/>
            <w:r w:rsidRPr="00DD1664">
              <w:t>tumor</w:t>
            </w:r>
            <w:proofErr w:type="spellEnd"/>
            <w:r w:rsidRPr="00DD1664">
              <w:t xml:space="preserve"> alterations. </w:t>
            </w:r>
            <w:r w:rsidRPr="00DD1664">
              <w:rPr>
                <w:i/>
                <w:iCs/>
              </w:rPr>
              <w:t>Genome Medicine</w:t>
            </w:r>
            <w:r w:rsidRPr="00DD1664">
              <w:t xml:space="preserve"> </w:t>
            </w:r>
            <w:r w:rsidRPr="00DD1664">
              <w:rPr>
                <w:b/>
                <w:bCs/>
              </w:rPr>
              <w:t>10</w:t>
            </w:r>
            <w:r w:rsidRPr="00DD1664">
              <w:t>, 25 (2018).</w:t>
            </w:r>
          </w:p>
          <w:p w14:paraId="4CC99A4B" w14:textId="18742AF1" w:rsidR="003A7DAE" w:rsidRDefault="00F954BA" w:rsidP="00ED69E6">
            <w:pPr>
              <w:rPr>
                <w:b/>
              </w:rPr>
            </w:pPr>
            <w:r w:rsidRPr="006F21AC">
              <w:rPr>
                <w:rFonts w:asciiTheme="minorHAnsi" w:hAnsiTheme="minorHAnsi" w:cstheme="minorHAnsi"/>
              </w:rPr>
              <w:fldChar w:fldCharType="end"/>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14FD7"/>
    <w:rsid w:val="006F46FB"/>
    <w:rsid w:val="007E7720"/>
    <w:rsid w:val="009C30A0"/>
    <w:rsid w:val="009C47A8"/>
    <w:rsid w:val="00AE49DF"/>
    <w:rsid w:val="00BB70D0"/>
    <w:rsid w:val="00BD5F21"/>
    <w:rsid w:val="00C97F86"/>
    <w:rsid w:val="00DE6413"/>
    <w:rsid w:val="00EF0A9E"/>
    <w:rsid w:val="00F954BA"/>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paragraph" w:styleId="Bibliography">
    <w:name w:val="Bibliography"/>
    <w:basedOn w:val="Normal"/>
    <w:next w:val="Normal"/>
    <w:uiPriority w:val="37"/>
    <w:semiHidden/>
    <w:unhideWhenUsed/>
    <w:rsid w:val="00F9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coyle@nottingham.ac.uk" TargetMode="External"/><Relationship Id="rId5" Type="http://schemas.openxmlformats.org/officeDocument/2006/relationships/hyperlink" Target="mailto:Rf190@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2024-11-19T09:46:00Z</dcterms:created>
  <dcterms:modified xsi:type="dcterms:W3CDTF">2024-11-19T09:48:00Z</dcterms:modified>
</cp:coreProperties>
</file>