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18"/>
        <w:gridCol w:w="6708"/>
      </w:tblGrid>
      <w:tr w:rsidRPr="003668EB" w:rsidR="003668EB" w:rsidTr="716617FC" w14:paraId="39B0C26C" w14:textId="77777777">
        <w:tc>
          <w:tcPr>
            <w:tcW w:w="2318" w:type="dxa"/>
            <w:tcMar/>
          </w:tcPr>
          <w:p w:rsidRPr="003668EB" w:rsidR="00C43130" w:rsidP="003668EB" w:rsidRDefault="00C43130" w14:paraId="749CA32F" w14:textId="77777777">
            <w:pPr>
              <w:spacing w:after="160"/>
              <w:rPr>
                <w:color w:val="7F7F7F" w:themeColor="text1" w:themeTint="80"/>
              </w:rPr>
            </w:pPr>
            <w:r w:rsidRPr="003668EB">
              <w:rPr>
                <w:color w:val="7F7F7F" w:themeColor="text1" w:themeTint="80"/>
              </w:rPr>
              <w:t>Project Reference</w:t>
            </w:r>
          </w:p>
        </w:tc>
        <w:tc>
          <w:tcPr>
            <w:tcW w:w="6708" w:type="dxa"/>
            <w:tcMar/>
          </w:tcPr>
          <w:p w:rsidRPr="003668EB" w:rsidR="00C43130" w:rsidP="003668EB" w:rsidRDefault="003668EB" w14:paraId="382D3756" w14:textId="0E8E3A79">
            <w:pPr>
              <w:spacing w:after="160"/>
            </w:pPr>
            <w:r w:rsidRPr="003668EB">
              <w:rPr>
                <w:rFonts w:ascii="Calibri" w:hAnsi="Calibri" w:cs="Calibri"/>
              </w:rPr>
              <w:t>T</w:t>
            </w:r>
            <w:r w:rsidR="0055536E">
              <w:rPr>
                <w:rFonts w:ascii="Calibri" w:hAnsi="Calibri" w:cs="Calibri"/>
              </w:rPr>
              <w:t>3/7</w:t>
            </w:r>
            <w:r w:rsidR="00A77F0F">
              <w:rPr>
                <w:rFonts w:ascii="Calibri" w:hAnsi="Calibri" w:cs="Calibri"/>
              </w:rPr>
              <w:t>3</w:t>
            </w:r>
          </w:p>
        </w:tc>
      </w:tr>
      <w:tr w:rsidRPr="003668EB" w:rsidR="003668EB" w:rsidTr="716617FC" w14:paraId="02E377FF" w14:textId="77777777">
        <w:tc>
          <w:tcPr>
            <w:tcW w:w="2318" w:type="dxa"/>
            <w:tcMar/>
          </w:tcPr>
          <w:p w:rsidRPr="003668EB" w:rsidR="00C43130" w:rsidP="003668EB" w:rsidRDefault="00C43130" w14:paraId="4D1F7D74" w14:textId="77777777">
            <w:pPr>
              <w:spacing w:after="160"/>
              <w:rPr>
                <w:color w:val="7F7F7F" w:themeColor="text1" w:themeTint="80"/>
              </w:rPr>
            </w:pPr>
            <w:r w:rsidRPr="003668EB">
              <w:rPr>
                <w:color w:val="7F7F7F" w:themeColor="text1" w:themeTint="80"/>
              </w:rPr>
              <w:t>Project Title</w:t>
            </w:r>
          </w:p>
        </w:tc>
        <w:tc>
          <w:tcPr>
            <w:tcW w:w="6708" w:type="dxa"/>
            <w:tcMar/>
          </w:tcPr>
          <w:p w:rsidRPr="003668EB" w:rsidR="00C43130" w:rsidP="003668EB" w:rsidRDefault="00D039E5" w14:paraId="4C1CAB46" w14:textId="1880B8EE">
            <w:pPr>
              <w:spacing w:after="160"/>
              <w:rPr>
                <w:b/>
              </w:rPr>
            </w:pPr>
            <w:r w:rsidRPr="00D039E5">
              <w:rPr>
                <w:rFonts w:ascii="Calibri" w:hAnsi="Calibri" w:cs="Calibri"/>
                <w:b/>
                <w:bCs/>
              </w:rPr>
              <w:t>Implementation of long-read technologies to detect genetic determinants of phenotypic variation in disease and carriage isolate of a bacterial pathogen</w:t>
            </w:r>
          </w:p>
        </w:tc>
      </w:tr>
      <w:tr w:rsidRPr="003668EB" w:rsidR="003668EB" w:rsidTr="716617FC" w14:paraId="1BBEBEB1" w14:textId="77777777">
        <w:tc>
          <w:tcPr>
            <w:tcW w:w="2318" w:type="dxa"/>
            <w:tcMar/>
          </w:tcPr>
          <w:p w:rsidRPr="003668EB" w:rsidR="00C43130" w:rsidP="003668EB" w:rsidRDefault="00C43130" w14:paraId="6B7F23C3" w14:textId="77777777">
            <w:pPr>
              <w:spacing w:after="160"/>
              <w:rPr>
                <w:color w:val="7F7F7F" w:themeColor="text1" w:themeTint="80"/>
              </w:rPr>
            </w:pPr>
            <w:r w:rsidRPr="003668EB">
              <w:rPr>
                <w:color w:val="7F7F7F" w:themeColor="text1" w:themeTint="80"/>
              </w:rPr>
              <w:t>Theme(s)</w:t>
            </w:r>
          </w:p>
        </w:tc>
        <w:tc>
          <w:tcPr>
            <w:tcW w:w="6708" w:type="dxa"/>
            <w:tcMar/>
          </w:tcPr>
          <w:p w:rsidRPr="009049D6" w:rsidR="009049D6" w:rsidP="003668EB" w:rsidRDefault="00DC4415" w14:paraId="078BDD8A" w14:textId="450D8007">
            <w:pPr>
              <w:spacing w:after="160"/>
              <w:rPr>
                <w:rFonts w:ascii="Calibri" w:hAnsi="Calibri" w:cs="Calibri"/>
              </w:rPr>
            </w:pPr>
            <w:r w:rsidRPr="00DC4415">
              <w:rPr>
                <w:rFonts w:ascii="Calibri" w:hAnsi="Calibri" w:cs="Calibri"/>
              </w:rPr>
              <w:t>Theme 3: Genetically informed causal inference and risk prediction</w:t>
            </w:r>
          </w:p>
        </w:tc>
      </w:tr>
      <w:tr w:rsidRPr="003668EB" w:rsidR="003668EB" w:rsidTr="716617FC" w14:paraId="38A86710" w14:textId="77777777">
        <w:tc>
          <w:tcPr>
            <w:tcW w:w="2318" w:type="dxa"/>
            <w:tcMar/>
          </w:tcPr>
          <w:p w:rsidRPr="003668EB" w:rsidR="00C43130" w:rsidP="003668EB" w:rsidRDefault="00C43130" w14:paraId="7FA651AE" w14:textId="77777777">
            <w:pPr>
              <w:spacing w:after="160"/>
              <w:rPr>
                <w:color w:val="7F7F7F" w:themeColor="text1" w:themeTint="80"/>
              </w:rPr>
            </w:pPr>
            <w:r w:rsidRPr="003668EB">
              <w:rPr>
                <w:color w:val="7F7F7F" w:themeColor="text1" w:themeTint="80"/>
              </w:rPr>
              <w:t>Supervisors</w:t>
            </w:r>
          </w:p>
        </w:tc>
        <w:tc>
          <w:tcPr>
            <w:tcW w:w="6708" w:type="dxa"/>
            <w:tcMar/>
          </w:tcPr>
          <w:p w:rsidR="00EF26C8" w:rsidP="716617FC" w:rsidRDefault="00A77F0F" w14:paraId="6CD4AE35" w14:textId="2F6B3C33">
            <w:pPr>
              <w:widowControl w:val="0"/>
              <w:tabs>
                <w:tab w:val="left" w:pos="90"/>
                <w:tab w:val="left" w:pos="2780"/>
              </w:tabs>
              <w:autoSpaceDE w:val="0"/>
              <w:autoSpaceDN w:val="0"/>
              <w:adjustRightInd w:val="0"/>
              <w:rPr>
                <w:rFonts w:ascii="Calibri" w:hAnsi="Calibri" w:cs="Calibri"/>
                <w:b w:val="1"/>
                <w:bCs w:val="1"/>
              </w:rPr>
            </w:pPr>
            <w:r w:rsidRPr="716617FC" w:rsidR="00A77F0F">
              <w:rPr>
                <w:rFonts w:ascii="Calibri" w:hAnsi="Calibri" w:cs="Calibri"/>
                <w:b w:val="1"/>
                <w:bCs w:val="1"/>
              </w:rPr>
              <w:t>Prof Chris Bayliss</w:t>
            </w:r>
            <w:r w:rsidRPr="716617FC" w:rsidR="00EF26C8">
              <w:rPr>
                <w:rFonts w:ascii="Calibri" w:hAnsi="Calibri" w:cs="Calibri"/>
                <w:b w:val="1"/>
                <w:bCs w:val="1"/>
              </w:rPr>
              <w:t xml:space="preserve"> (University of Leicester)</w:t>
            </w:r>
            <w:r w:rsidRPr="716617FC" w:rsidR="2BAFC3F8">
              <w:rPr>
                <w:rFonts w:ascii="Calibri" w:hAnsi="Calibri" w:cs="Calibri"/>
                <w:b w:val="1"/>
                <w:bCs w:val="1"/>
              </w:rPr>
              <w:t xml:space="preserve"> </w:t>
            </w:r>
            <w:hyperlink r:id="R99ae1d9bb3214264">
              <w:r w:rsidRPr="716617FC" w:rsidR="2BAFC3F8">
                <w:rPr>
                  <w:rStyle w:val="Hyperlink"/>
                  <w:rFonts w:ascii="Calibri" w:hAnsi="Calibri" w:cs="Calibri"/>
                  <w:b w:val="1"/>
                  <w:bCs w:val="1"/>
                </w:rPr>
                <w:t>cdb12@leicester.ac.uk</w:t>
              </w:r>
            </w:hyperlink>
            <w:r w:rsidRPr="716617FC" w:rsidR="2BAFC3F8">
              <w:rPr>
                <w:rFonts w:ascii="Calibri" w:hAnsi="Calibri" w:cs="Calibri"/>
                <w:b w:val="1"/>
                <w:bCs w:val="1"/>
              </w:rPr>
              <w:t xml:space="preserve"> </w:t>
            </w:r>
          </w:p>
          <w:p w:rsidRPr="004F38FA" w:rsidR="004F38FA" w:rsidP="002335DA" w:rsidRDefault="00F311DC" w14:paraId="2A98880F" w14:textId="42CB5914">
            <w:pPr>
              <w:widowControl w:val="0"/>
              <w:tabs>
                <w:tab w:val="left" w:pos="90"/>
                <w:tab w:val="left" w:pos="2780"/>
              </w:tabs>
              <w:autoSpaceDE w:val="0"/>
              <w:autoSpaceDN w:val="0"/>
              <w:adjustRightInd w:val="0"/>
              <w:spacing w:after="160"/>
              <w:ind w:left="2778" w:hanging="2778"/>
              <w:rPr>
                <w:rFonts w:ascii="Calibri" w:hAnsi="Calibri" w:cs="Calibri"/>
              </w:rPr>
            </w:pPr>
            <w:r>
              <w:rPr>
                <w:rFonts w:ascii="Calibri" w:hAnsi="Calibri" w:cs="Calibri"/>
              </w:rPr>
              <w:t>Dr Andrew Millard</w:t>
            </w:r>
            <w:r w:rsidRPr="00206A19" w:rsidR="00206A19">
              <w:rPr>
                <w:rFonts w:ascii="Calibri" w:hAnsi="Calibri" w:cs="Calibri"/>
              </w:rPr>
              <w:t xml:space="preserve"> (University of Leicester)</w:t>
            </w:r>
          </w:p>
        </w:tc>
      </w:tr>
      <w:tr w:rsidRPr="003668EB" w:rsidR="003668EB" w:rsidTr="716617FC" w14:paraId="1C21EB14" w14:textId="77777777">
        <w:tc>
          <w:tcPr>
            <w:tcW w:w="2318" w:type="dxa"/>
            <w:tcMar/>
          </w:tcPr>
          <w:p w:rsidRPr="003668EB" w:rsidR="00C43130" w:rsidP="003668EB" w:rsidRDefault="00C43130" w14:paraId="2F86B2D2" w14:textId="77777777">
            <w:pPr>
              <w:spacing w:after="160"/>
              <w:rPr>
                <w:color w:val="7F7F7F" w:themeColor="text1" w:themeTint="80"/>
              </w:rPr>
            </w:pPr>
            <w:r w:rsidRPr="003668EB">
              <w:rPr>
                <w:color w:val="7F7F7F" w:themeColor="text1" w:themeTint="80"/>
              </w:rPr>
              <w:t>Department</w:t>
            </w:r>
          </w:p>
        </w:tc>
        <w:tc>
          <w:tcPr>
            <w:tcW w:w="6708" w:type="dxa"/>
            <w:tcMar/>
          </w:tcPr>
          <w:p w:rsidRPr="003668EB" w:rsidR="00C43130" w:rsidP="003668EB" w:rsidRDefault="00F311DC" w14:paraId="5D86EC3E" w14:textId="3FAD022F">
            <w:pPr>
              <w:spacing w:after="160"/>
            </w:pPr>
            <w:r>
              <w:rPr>
                <w:rFonts w:ascii="Calibri" w:hAnsi="Calibri" w:cs="Calibri"/>
              </w:rPr>
              <w:t>Genetics and Genome Biology</w:t>
            </w:r>
          </w:p>
        </w:tc>
      </w:tr>
      <w:tr w:rsidRPr="003668EB" w:rsidR="003668EB" w:rsidTr="716617FC" w14:paraId="7A671269" w14:textId="77777777">
        <w:tc>
          <w:tcPr>
            <w:tcW w:w="2318" w:type="dxa"/>
            <w:tcMar/>
          </w:tcPr>
          <w:p w:rsidRPr="003668EB" w:rsidR="00C43130" w:rsidP="003668EB" w:rsidRDefault="00C43130" w14:paraId="5C442EF6" w14:textId="77777777">
            <w:pPr>
              <w:spacing w:after="160"/>
              <w:rPr>
                <w:color w:val="7F7F7F" w:themeColor="text1" w:themeTint="80"/>
              </w:rPr>
            </w:pPr>
            <w:r w:rsidRPr="003668EB">
              <w:rPr>
                <w:color w:val="7F7F7F" w:themeColor="text1" w:themeTint="80"/>
              </w:rPr>
              <w:t>Project Summary</w:t>
            </w:r>
          </w:p>
        </w:tc>
        <w:tc>
          <w:tcPr>
            <w:tcW w:w="6708" w:type="dxa"/>
            <w:tcMar/>
          </w:tcPr>
          <w:p w:rsidRPr="003668EB" w:rsidR="00C43130" w:rsidP="00DC4415" w:rsidRDefault="00D039E5" w14:paraId="3ECA8542" w14:textId="700BD4EF">
            <w:r w:rsidRPr="00D039E5">
              <w:rPr>
                <w:i/>
                <w:iCs/>
              </w:rPr>
              <w:t>Neisseria meningitidis</w:t>
            </w:r>
            <w:r w:rsidRPr="00D039E5">
              <w:t xml:space="preserve"> is the major cause of bacterial meningitis but is also widespread as an asymptomatic coloniser of human oropharyngeal tissues. Invasive meningococcal disease is caused by both hypervirulent and endemic strains that encompass genetically-distinct lineages. Critically, meningococci are highly adaptable with multiple mechanisms for generating genomic variation in DNA sequences encoding key meningococcal virulence traits. This project aims to improve our understanding of the genomic basis for meningococcal virulence by utilising novel combinatorial sequencing technologies (e.g. Illumina and Oxford Nanopore) to analyse the bacterial genomes. This genomic information will be utilised in </w:t>
            </w:r>
            <w:proofErr w:type="spellStart"/>
            <w:r w:rsidRPr="00D039E5">
              <w:t>genomewide</w:t>
            </w:r>
            <w:proofErr w:type="spellEnd"/>
            <w:r w:rsidRPr="00D039E5">
              <w:t xml:space="preserve"> association studies with pre-existing phenotypic data to link specific bacterial sequences to variation in virulence-related traits. A major potential outcome of the project will be an ability to predict invasive disease potential during routine surveillance of meningococcal disease cases.</w:t>
            </w:r>
          </w:p>
        </w:tc>
      </w:tr>
    </w:tbl>
    <w:p w:rsidR="00DC7420" w:rsidRDefault="00BE5A72" w14:paraId="7AC2B3D1" w14:textId="77777777"/>
    <w:sectPr w:rsidR="00DC7420">
      <w:head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5A72" w:rsidP="00C43130" w:rsidRDefault="00BE5A72" w14:paraId="6FB1CC94" w14:textId="77777777">
      <w:pPr>
        <w:spacing w:after="0" w:line="240" w:lineRule="auto"/>
      </w:pPr>
      <w:r>
        <w:separator/>
      </w:r>
    </w:p>
  </w:endnote>
  <w:endnote w:type="continuationSeparator" w:id="0">
    <w:p w:rsidR="00BE5A72" w:rsidP="00C43130" w:rsidRDefault="00BE5A72" w14:paraId="5A15FE4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5A72" w:rsidP="00C43130" w:rsidRDefault="00BE5A72" w14:paraId="17C6EC9C" w14:textId="77777777">
      <w:pPr>
        <w:spacing w:after="0" w:line="240" w:lineRule="auto"/>
      </w:pPr>
      <w:r>
        <w:separator/>
      </w:r>
    </w:p>
  </w:footnote>
  <w:footnote w:type="continuationSeparator" w:id="0">
    <w:p w:rsidR="00BE5A72" w:rsidP="00C43130" w:rsidRDefault="00BE5A72" w14:paraId="6F5A1EE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3130" w:rsidP="00C43130" w:rsidRDefault="00C43130" w14:paraId="278398FF" w14:textId="4EBC53D7">
    <w:bookmarkStart w:name="_Hlk146015536" w:id="0"/>
    <w:proofErr w:type="spellStart"/>
    <w:r>
      <w:t>Wellcome</w:t>
    </w:r>
    <w:proofErr w:type="spellEnd"/>
    <w:r>
      <w:t xml:space="preserve"> Trust DTP in Genomic Epidemiology and Public Health Genomics</w:t>
    </w:r>
    <w:r w:rsidR="003668EB">
      <w:br/>
    </w:r>
    <w:r>
      <w:t xml:space="preserve">Projects for </w:t>
    </w:r>
    <w:r w:rsidR="007720A4">
      <w:t>2024</w:t>
    </w:r>
    <w:r>
      <w:t xml:space="preserve"> Entry</w:t>
    </w:r>
  </w:p>
  <w:bookmarkEnd w:id="0"/>
  <w:p w:rsidR="00C43130" w:rsidRDefault="00C43130" w14:paraId="7E91478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366F2"/>
    <w:multiLevelType w:val="hybridMultilevel"/>
    <w:tmpl w:val="26D889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130"/>
    <w:rsid w:val="00000BE9"/>
    <w:rsid w:val="00125276"/>
    <w:rsid w:val="00143FC0"/>
    <w:rsid w:val="001B2F7D"/>
    <w:rsid w:val="001C45B1"/>
    <w:rsid w:val="001D3E2A"/>
    <w:rsid w:val="00206A19"/>
    <w:rsid w:val="00224BF0"/>
    <w:rsid w:val="002335DA"/>
    <w:rsid w:val="003668EB"/>
    <w:rsid w:val="00376184"/>
    <w:rsid w:val="00382EF7"/>
    <w:rsid w:val="004012C3"/>
    <w:rsid w:val="004470AF"/>
    <w:rsid w:val="00491983"/>
    <w:rsid w:val="004B343D"/>
    <w:rsid w:val="004F38FA"/>
    <w:rsid w:val="0055536E"/>
    <w:rsid w:val="00562059"/>
    <w:rsid w:val="005B2B25"/>
    <w:rsid w:val="00626722"/>
    <w:rsid w:val="00656FA7"/>
    <w:rsid w:val="006E7242"/>
    <w:rsid w:val="00727E1E"/>
    <w:rsid w:val="007720A4"/>
    <w:rsid w:val="007C0721"/>
    <w:rsid w:val="007F4702"/>
    <w:rsid w:val="007F69F9"/>
    <w:rsid w:val="008D0FBD"/>
    <w:rsid w:val="009049D6"/>
    <w:rsid w:val="0092331A"/>
    <w:rsid w:val="009444D5"/>
    <w:rsid w:val="00966485"/>
    <w:rsid w:val="009706DD"/>
    <w:rsid w:val="009B5F1C"/>
    <w:rsid w:val="00A209D2"/>
    <w:rsid w:val="00A77F0F"/>
    <w:rsid w:val="00A95517"/>
    <w:rsid w:val="00AE648E"/>
    <w:rsid w:val="00AF4EB7"/>
    <w:rsid w:val="00B038C4"/>
    <w:rsid w:val="00B163C0"/>
    <w:rsid w:val="00BD0FC8"/>
    <w:rsid w:val="00BE5A72"/>
    <w:rsid w:val="00C43130"/>
    <w:rsid w:val="00C86A60"/>
    <w:rsid w:val="00C91415"/>
    <w:rsid w:val="00D039E5"/>
    <w:rsid w:val="00D25ECC"/>
    <w:rsid w:val="00DC4415"/>
    <w:rsid w:val="00DD4199"/>
    <w:rsid w:val="00DD706A"/>
    <w:rsid w:val="00E06BDE"/>
    <w:rsid w:val="00E13FFA"/>
    <w:rsid w:val="00E3126F"/>
    <w:rsid w:val="00E45B41"/>
    <w:rsid w:val="00E54CB4"/>
    <w:rsid w:val="00E73BD6"/>
    <w:rsid w:val="00E97EDA"/>
    <w:rsid w:val="00EA23D9"/>
    <w:rsid w:val="00ED6FA4"/>
    <w:rsid w:val="00EF26C8"/>
    <w:rsid w:val="00EF49EF"/>
    <w:rsid w:val="00F311DC"/>
    <w:rsid w:val="00F322D8"/>
    <w:rsid w:val="2BAFC3F8"/>
    <w:rsid w:val="71661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50A65"/>
  <w15:chartTrackingRefBased/>
  <w15:docId w15:val="{29251D8A-1351-4DD8-8C9B-7BCD2DBC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43130"/>
    <w:rPr>
      <w:sz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4313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C43130"/>
    <w:pPr>
      <w:tabs>
        <w:tab w:val="center" w:pos="4513"/>
        <w:tab w:val="right" w:pos="9026"/>
      </w:tabs>
      <w:spacing w:after="0" w:line="240" w:lineRule="auto"/>
    </w:pPr>
  </w:style>
  <w:style w:type="character" w:styleId="HeaderChar" w:customStyle="1">
    <w:name w:val="Header Char"/>
    <w:basedOn w:val="DefaultParagraphFont"/>
    <w:link w:val="Header"/>
    <w:uiPriority w:val="99"/>
    <w:rsid w:val="00C43130"/>
    <w:rPr>
      <w:sz w:val="21"/>
    </w:rPr>
  </w:style>
  <w:style w:type="paragraph" w:styleId="Footer">
    <w:name w:val="footer"/>
    <w:basedOn w:val="Normal"/>
    <w:link w:val="FooterChar"/>
    <w:uiPriority w:val="99"/>
    <w:unhideWhenUsed/>
    <w:rsid w:val="00C43130"/>
    <w:pPr>
      <w:tabs>
        <w:tab w:val="center" w:pos="4513"/>
        <w:tab w:val="right" w:pos="9026"/>
      </w:tabs>
      <w:spacing w:after="0" w:line="240" w:lineRule="auto"/>
    </w:pPr>
  </w:style>
  <w:style w:type="character" w:styleId="FooterChar" w:customStyle="1">
    <w:name w:val="Footer Char"/>
    <w:basedOn w:val="DefaultParagraphFont"/>
    <w:link w:val="Footer"/>
    <w:uiPriority w:val="99"/>
    <w:rsid w:val="00C43130"/>
    <w:rPr>
      <w:sz w:val="21"/>
    </w:rPr>
  </w:style>
  <w:style w:type="paragraph" w:styleId="ListParagraph">
    <w:name w:val="List Paragraph"/>
    <w:basedOn w:val="Normal"/>
    <w:uiPriority w:val="34"/>
    <w:qFormat/>
    <w:rsid w:val="00562059"/>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cdb12@leicester.ac.uk" TargetMode="External" Id="R99ae1d9bb321426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8D42C4F4D6ED4FB6DFDEBBB691FCD6" ma:contentTypeVersion="13" ma:contentTypeDescription="Create a new document." ma:contentTypeScope="" ma:versionID="9fd0e0c2c0373e7a7e02b8b9320b095c">
  <xsd:schema xmlns:xsd="http://www.w3.org/2001/XMLSchema" xmlns:xs="http://www.w3.org/2001/XMLSchema" xmlns:p="http://schemas.microsoft.com/office/2006/metadata/properties" xmlns:ns3="f8d34afb-eaf3-414f-8c4c-a486f0a8a8fb" xmlns:ns4="d12b0866-9180-4d63-9858-8ee9b28a86cf" targetNamespace="http://schemas.microsoft.com/office/2006/metadata/properties" ma:root="true" ma:fieldsID="c0d1b63498fd499cc48e9262d4306b07" ns3:_="" ns4:_="">
    <xsd:import namespace="f8d34afb-eaf3-414f-8c4c-a486f0a8a8fb"/>
    <xsd:import namespace="d12b0866-9180-4d63-9858-8ee9b28a86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34afb-eaf3-414f-8c4c-a486f0a8a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b0866-9180-4d63-9858-8ee9b28a86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C6F715-6EF6-4989-BF7F-F8BDAC4E9C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8AB37F-E142-459D-9353-BCC70C408E18}">
  <ds:schemaRefs>
    <ds:schemaRef ds:uri="http://schemas.microsoft.com/sharepoint/v3/contenttype/forms"/>
  </ds:schemaRefs>
</ds:datastoreItem>
</file>

<file path=customXml/itemProps3.xml><?xml version="1.0" encoding="utf-8"?>
<ds:datastoreItem xmlns:ds="http://schemas.openxmlformats.org/officeDocument/2006/customXml" ds:itemID="{64C8656F-5FC9-4CBB-9884-32F84F761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34afb-eaf3-414f-8c4c-a486f0a8a8fb"/>
    <ds:schemaRef ds:uri="d12b0866-9180-4d63-9858-8ee9b28a8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Leicester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Robinson, Sarah F.A.</dc:creator>
  <keywords/>
  <dc:description/>
  <lastModifiedBy>Robinson, Sarah F.A.</lastModifiedBy>
  <revision>6</revision>
  <dcterms:created xsi:type="dcterms:W3CDTF">2023-09-19T12:16:00.0000000Z</dcterms:created>
  <dcterms:modified xsi:type="dcterms:W3CDTF">2023-09-28T09:47:27.9318862Z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0x010100A58D42C4F4D6ED4FB6DFDEBBB691FCD6</vt:lpwstr>
  </property>
</Properties>
</file>