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EBEA" w14:textId="77777777" w:rsidR="004C3BE7" w:rsidRPr="00A057B5" w:rsidRDefault="004C05C8">
      <w:pPr>
        <w:pStyle w:val="BodyText"/>
        <w:ind w:left="120"/>
        <w:rPr>
          <w:rFonts w:asciiTheme="minorHAnsi" w:hAnsiTheme="minorHAnsi" w:cstheme="minorHAnsi"/>
          <w:sz w:val="20"/>
        </w:rPr>
      </w:pPr>
      <w:r w:rsidRPr="00A057B5">
        <w:rPr>
          <w:rFonts w:asciiTheme="minorHAnsi" w:hAnsiTheme="minorHAnsi" w:cstheme="minorHAnsi"/>
          <w:noProof/>
          <w:sz w:val="20"/>
        </w:rPr>
        <w:drawing>
          <wp:inline distT="0" distB="0" distL="0" distR="0" wp14:anchorId="7A67C9AD" wp14:editId="7AB0E9E1">
            <wp:extent cx="6559004" cy="75609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6559004" cy="756094"/>
                    </a:xfrm>
                    <a:prstGeom prst="rect">
                      <a:avLst/>
                    </a:prstGeom>
                  </pic:spPr>
                </pic:pic>
              </a:graphicData>
            </a:graphic>
          </wp:inline>
        </w:drawing>
      </w:r>
    </w:p>
    <w:p w14:paraId="0141C5DB" w14:textId="77777777" w:rsidR="004C3BE7" w:rsidRPr="00A057B5" w:rsidRDefault="004C3BE7">
      <w:pPr>
        <w:pStyle w:val="BodyText"/>
        <w:rPr>
          <w:rFonts w:asciiTheme="minorHAnsi" w:hAnsiTheme="minorHAnsi" w:cstheme="minorHAnsi"/>
          <w:sz w:val="20"/>
        </w:rPr>
      </w:pPr>
    </w:p>
    <w:p w14:paraId="431F40CC" w14:textId="734E20F7" w:rsidR="004C3BE7" w:rsidRPr="00A057B5" w:rsidRDefault="006B6D3A" w:rsidP="00A057B5">
      <w:pPr>
        <w:pStyle w:val="BodyText"/>
        <w:jc w:val="center"/>
        <w:rPr>
          <w:rFonts w:asciiTheme="minorHAnsi" w:hAnsiTheme="minorHAnsi" w:cstheme="minorHAnsi"/>
          <w:b/>
          <w:sz w:val="16"/>
          <w:szCs w:val="28"/>
        </w:rPr>
      </w:pPr>
      <w:r w:rsidRPr="00A057B5">
        <w:rPr>
          <w:rFonts w:asciiTheme="minorHAnsi" w:hAnsiTheme="minorHAnsi" w:cstheme="minorHAnsi"/>
          <w:b/>
          <w:spacing w:val="-2"/>
          <w:sz w:val="48"/>
          <w:szCs w:val="28"/>
        </w:rPr>
        <w:t>The outer bound of planet formation</w:t>
      </w: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51"/>
        <w:gridCol w:w="1985"/>
        <w:gridCol w:w="2098"/>
      </w:tblGrid>
      <w:tr w:rsidR="004C3BE7" w:rsidRPr="00A057B5" w14:paraId="080EB7E1" w14:textId="77777777">
        <w:trPr>
          <w:trHeight w:val="282"/>
        </w:trPr>
        <w:tc>
          <w:tcPr>
            <w:tcW w:w="5951" w:type="dxa"/>
            <w:vMerge w:val="restart"/>
            <w:tcBorders>
              <w:right w:val="single" w:sz="4" w:space="0" w:color="000000"/>
            </w:tcBorders>
            <w:shd w:val="clear" w:color="auto" w:fill="FFBCBC"/>
          </w:tcPr>
          <w:p w14:paraId="7BA93E86" w14:textId="77777777" w:rsidR="006B6D3A" w:rsidRPr="00A057B5" w:rsidRDefault="006B6D3A" w:rsidP="006B6D3A">
            <w:pPr>
              <w:pStyle w:val="ListParagraph"/>
              <w:widowControl/>
              <w:numPr>
                <w:ilvl w:val="0"/>
                <w:numId w:val="1"/>
              </w:numPr>
              <w:autoSpaceDE/>
              <w:autoSpaceDN/>
              <w:contextualSpacing/>
              <w:rPr>
                <w:rFonts w:asciiTheme="minorHAnsi" w:hAnsiTheme="minorHAnsi" w:cstheme="minorHAnsi"/>
              </w:rPr>
            </w:pPr>
            <w:r w:rsidRPr="00A057B5">
              <w:rPr>
                <w:rFonts w:asciiTheme="minorHAnsi" w:hAnsiTheme="minorHAnsi" w:cstheme="minorHAnsi"/>
              </w:rPr>
              <w:t xml:space="preserve">High performance numerical simulations of planet and binary star formation </w:t>
            </w:r>
          </w:p>
          <w:p w14:paraId="26D0823C" w14:textId="77777777" w:rsidR="006B6D3A" w:rsidRPr="00A057B5" w:rsidRDefault="006B6D3A" w:rsidP="006B6D3A">
            <w:pPr>
              <w:pStyle w:val="ListParagraph"/>
              <w:widowControl/>
              <w:numPr>
                <w:ilvl w:val="0"/>
                <w:numId w:val="1"/>
              </w:numPr>
              <w:autoSpaceDE/>
              <w:autoSpaceDN/>
              <w:contextualSpacing/>
              <w:rPr>
                <w:rFonts w:asciiTheme="minorHAnsi" w:hAnsiTheme="minorHAnsi" w:cstheme="minorHAnsi"/>
              </w:rPr>
            </w:pPr>
            <w:r w:rsidRPr="00A057B5">
              <w:rPr>
                <w:rFonts w:asciiTheme="minorHAnsi" w:hAnsiTheme="minorHAnsi" w:cstheme="minorHAnsi"/>
              </w:rPr>
              <w:t>Compare simulation results with the recent exciting observational progress</w:t>
            </w:r>
          </w:p>
          <w:p w14:paraId="04DE3491" w14:textId="0A4D0018" w:rsidR="004C3BE7" w:rsidRPr="00A057B5" w:rsidRDefault="006B6D3A" w:rsidP="006B6D3A">
            <w:pPr>
              <w:pStyle w:val="ListParagraph"/>
              <w:widowControl/>
              <w:numPr>
                <w:ilvl w:val="0"/>
                <w:numId w:val="1"/>
              </w:numPr>
              <w:autoSpaceDE/>
              <w:autoSpaceDN/>
              <w:contextualSpacing/>
              <w:rPr>
                <w:rFonts w:asciiTheme="minorHAnsi" w:hAnsiTheme="minorHAnsi" w:cstheme="minorHAnsi"/>
              </w:rPr>
            </w:pPr>
            <w:r w:rsidRPr="00A057B5">
              <w:rPr>
                <w:rFonts w:asciiTheme="minorHAnsi" w:hAnsiTheme="minorHAnsi" w:cstheme="minorHAnsi"/>
              </w:rPr>
              <w:t>Understand protoplanetary discs and develop coding skills that will make you widely employable</w:t>
            </w:r>
          </w:p>
        </w:tc>
        <w:tc>
          <w:tcPr>
            <w:tcW w:w="1985" w:type="dxa"/>
            <w:tcBorders>
              <w:left w:val="single" w:sz="4" w:space="0" w:color="000000"/>
              <w:bottom w:val="nil"/>
              <w:right w:val="single" w:sz="4" w:space="0" w:color="000000"/>
            </w:tcBorders>
            <w:shd w:val="clear" w:color="auto" w:fill="E7E6E6"/>
          </w:tcPr>
          <w:p w14:paraId="5B935D8A" w14:textId="77777777" w:rsidR="004C3BE7" w:rsidRPr="00A057B5" w:rsidRDefault="004C05C8">
            <w:pPr>
              <w:pStyle w:val="TableParagraph"/>
              <w:spacing w:before="1" w:line="261" w:lineRule="exact"/>
              <w:rPr>
                <w:rFonts w:asciiTheme="minorHAnsi" w:hAnsiTheme="minorHAnsi" w:cstheme="minorHAnsi"/>
                <w:b/>
              </w:rPr>
            </w:pPr>
            <w:r w:rsidRPr="00A057B5">
              <w:rPr>
                <w:rFonts w:asciiTheme="minorHAnsi" w:hAnsiTheme="minorHAnsi" w:cstheme="minorHAnsi"/>
                <w:b/>
                <w:spacing w:val="-2"/>
              </w:rPr>
              <w:t>Level</w:t>
            </w:r>
          </w:p>
        </w:tc>
        <w:tc>
          <w:tcPr>
            <w:tcW w:w="2098" w:type="dxa"/>
            <w:tcBorders>
              <w:left w:val="single" w:sz="4" w:space="0" w:color="000000"/>
              <w:bottom w:val="nil"/>
            </w:tcBorders>
            <w:shd w:val="clear" w:color="auto" w:fill="E7E6E6"/>
          </w:tcPr>
          <w:p w14:paraId="3F78602F" w14:textId="0B6A1EC6" w:rsidR="004C3BE7" w:rsidRPr="00A057B5" w:rsidRDefault="006B6D3A" w:rsidP="006B6D3A">
            <w:pPr>
              <w:pStyle w:val="TableParagraph"/>
              <w:spacing w:before="1" w:line="261" w:lineRule="exact"/>
              <w:ind w:left="0"/>
              <w:rPr>
                <w:rFonts w:asciiTheme="minorHAnsi" w:hAnsiTheme="minorHAnsi" w:cstheme="minorHAnsi"/>
              </w:rPr>
            </w:pPr>
            <w:r w:rsidRPr="00A057B5">
              <w:rPr>
                <w:rFonts w:asciiTheme="minorHAnsi" w:hAnsiTheme="minorHAnsi" w:cstheme="minorHAnsi"/>
                <w:spacing w:val="-5"/>
              </w:rPr>
              <w:t xml:space="preserve">  </w:t>
            </w:r>
            <w:r w:rsidR="004C05C8" w:rsidRPr="00A057B5">
              <w:rPr>
                <w:rFonts w:asciiTheme="minorHAnsi" w:hAnsiTheme="minorHAnsi" w:cstheme="minorHAnsi"/>
                <w:spacing w:val="-5"/>
              </w:rPr>
              <w:t>PhD</w:t>
            </w:r>
          </w:p>
        </w:tc>
      </w:tr>
      <w:tr w:rsidR="004C3BE7" w:rsidRPr="00A057B5" w14:paraId="268AD589" w14:textId="77777777">
        <w:trPr>
          <w:trHeight w:val="248"/>
        </w:trPr>
        <w:tc>
          <w:tcPr>
            <w:tcW w:w="5951" w:type="dxa"/>
            <w:vMerge/>
            <w:tcBorders>
              <w:top w:val="nil"/>
              <w:right w:val="single" w:sz="4" w:space="0" w:color="000000"/>
            </w:tcBorders>
            <w:shd w:val="clear" w:color="auto" w:fill="FFBCBC"/>
          </w:tcPr>
          <w:p w14:paraId="37B0ED2F" w14:textId="77777777" w:rsidR="004C3BE7" w:rsidRPr="00A057B5" w:rsidRDefault="004C3BE7">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tcPr>
          <w:p w14:paraId="1987F1A1" w14:textId="77777777" w:rsidR="004C3BE7" w:rsidRPr="00A057B5" w:rsidRDefault="004C05C8">
            <w:pPr>
              <w:pStyle w:val="TableParagraph"/>
              <w:spacing w:line="228" w:lineRule="exact"/>
              <w:rPr>
                <w:rFonts w:asciiTheme="minorHAnsi" w:hAnsiTheme="minorHAnsi" w:cstheme="minorHAnsi"/>
                <w:b/>
              </w:rPr>
            </w:pPr>
            <w:r w:rsidRPr="00A057B5">
              <w:rPr>
                <w:rFonts w:asciiTheme="minorHAnsi" w:hAnsiTheme="minorHAnsi" w:cstheme="minorHAnsi"/>
                <w:b/>
              </w:rPr>
              <w:t>First</w:t>
            </w:r>
            <w:r w:rsidRPr="00A057B5">
              <w:rPr>
                <w:rFonts w:asciiTheme="minorHAnsi" w:hAnsiTheme="minorHAnsi" w:cstheme="minorHAnsi"/>
                <w:b/>
                <w:spacing w:val="-4"/>
              </w:rPr>
              <w:t xml:space="preserve"> </w:t>
            </w:r>
            <w:r w:rsidRPr="00A057B5">
              <w:rPr>
                <w:rFonts w:asciiTheme="minorHAnsi" w:hAnsiTheme="minorHAnsi" w:cstheme="minorHAnsi"/>
                <w:b/>
                <w:spacing w:val="-2"/>
              </w:rPr>
              <w:t>Supervisor</w:t>
            </w:r>
          </w:p>
        </w:tc>
        <w:tc>
          <w:tcPr>
            <w:tcW w:w="2098" w:type="dxa"/>
            <w:tcBorders>
              <w:top w:val="nil"/>
              <w:left w:val="single" w:sz="4" w:space="0" w:color="000000"/>
              <w:bottom w:val="nil"/>
            </w:tcBorders>
          </w:tcPr>
          <w:p w14:paraId="0FAC8848" w14:textId="01BDAAD6" w:rsidR="004C3BE7" w:rsidRDefault="006B6D3A">
            <w:pPr>
              <w:pStyle w:val="TableParagraph"/>
              <w:ind w:left="0"/>
              <w:rPr>
                <w:rFonts w:asciiTheme="minorHAnsi" w:hAnsiTheme="minorHAnsi" w:cstheme="minorHAnsi"/>
                <w:szCs w:val="28"/>
              </w:rPr>
            </w:pPr>
            <w:r w:rsidRPr="00A057B5">
              <w:rPr>
                <w:rFonts w:asciiTheme="minorHAnsi" w:hAnsiTheme="minorHAnsi" w:cstheme="minorHAnsi"/>
                <w:szCs w:val="28"/>
              </w:rPr>
              <w:t xml:space="preserve"> Prof Sergei Nayakshin</w:t>
            </w:r>
          </w:p>
          <w:p w14:paraId="0F4D60E4" w14:textId="067B1E6F" w:rsidR="0045589A" w:rsidRPr="00A057B5" w:rsidRDefault="0045589A">
            <w:pPr>
              <w:pStyle w:val="TableParagraph"/>
              <w:ind w:left="0"/>
              <w:rPr>
                <w:rFonts w:asciiTheme="minorHAnsi" w:hAnsiTheme="minorHAnsi" w:cstheme="minorHAnsi"/>
                <w:szCs w:val="28"/>
              </w:rPr>
            </w:pPr>
            <w:hyperlink r:id="rId6" w:history="1">
              <w:r w:rsidRPr="0045589A">
                <w:rPr>
                  <w:rStyle w:val="Hyperlink"/>
                  <w:rFonts w:asciiTheme="minorHAnsi" w:hAnsiTheme="minorHAnsi" w:cstheme="minorHAnsi"/>
                  <w:b/>
                  <w:bCs/>
                  <w:szCs w:val="28"/>
                </w:rPr>
                <w:t>sn85@le.ac.uk</w:t>
              </w:r>
            </w:hyperlink>
            <w:r w:rsidRPr="0045589A">
              <w:rPr>
                <w:rFonts w:asciiTheme="minorHAnsi" w:hAnsiTheme="minorHAnsi" w:cstheme="minorHAnsi"/>
                <w:szCs w:val="28"/>
              </w:rPr>
              <w:t> </w:t>
            </w:r>
          </w:p>
        </w:tc>
      </w:tr>
      <w:tr w:rsidR="004C3BE7" w:rsidRPr="00A057B5" w14:paraId="31AFDAC4" w14:textId="77777777">
        <w:trPr>
          <w:trHeight w:val="265"/>
        </w:trPr>
        <w:tc>
          <w:tcPr>
            <w:tcW w:w="5951" w:type="dxa"/>
            <w:vMerge/>
            <w:tcBorders>
              <w:top w:val="nil"/>
              <w:right w:val="single" w:sz="4" w:space="0" w:color="000000"/>
            </w:tcBorders>
            <w:shd w:val="clear" w:color="auto" w:fill="FFBCBC"/>
          </w:tcPr>
          <w:p w14:paraId="372E9FEB" w14:textId="77777777" w:rsidR="004C3BE7" w:rsidRPr="00A057B5" w:rsidRDefault="004C3BE7">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shd w:val="clear" w:color="auto" w:fill="E7E6E6"/>
          </w:tcPr>
          <w:p w14:paraId="12B9C83A" w14:textId="77777777" w:rsidR="004C3BE7" w:rsidRPr="00A057B5" w:rsidRDefault="004C05C8">
            <w:pPr>
              <w:pStyle w:val="TableParagraph"/>
              <w:spacing w:line="245" w:lineRule="exact"/>
              <w:rPr>
                <w:rFonts w:asciiTheme="minorHAnsi" w:hAnsiTheme="minorHAnsi" w:cstheme="minorHAnsi"/>
                <w:b/>
              </w:rPr>
            </w:pPr>
            <w:r w:rsidRPr="00A057B5">
              <w:rPr>
                <w:rFonts w:asciiTheme="minorHAnsi" w:hAnsiTheme="minorHAnsi" w:cstheme="minorHAnsi"/>
                <w:b/>
              </w:rPr>
              <w:t>Second</w:t>
            </w:r>
            <w:r w:rsidRPr="00A057B5">
              <w:rPr>
                <w:rFonts w:asciiTheme="minorHAnsi" w:hAnsiTheme="minorHAnsi" w:cstheme="minorHAnsi"/>
                <w:b/>
                <w:spacing w:val="-4"/>
              </w:rPr>
              <w:t xml:space="preserve"> </w:t>
            </w:r>
            <w:r w:rsidRPr="00A057B5">
              <w:rPr>
                <w:rFonts w:asciiTheme="minorHAnsi" w:hAnsiTheme="minorHAnsi" w:cstheme="minorHAnsi"/>
                <w:b/>
                <w:spacing w:val="-2"/>
              </w:rPr>
              <w:t>Supervisor</w:t>
            </w:r>
          </w:p>
        </w:tc>
        <w:tc>
          <w:tcPr>
            <w:tcW w:w="2098" w:type="dxa"/>
            <w:tcBorders>
              <w:top w:val="nil"/>
              <w:left w:val="single" w:sz="4" w:space="0" w:color="000000"/>
              <w:bottom w:val="nil"/>
            </w:tcBorders>
            <w:shd w:val="clear" w:color="auto" w:fill="E7E6E6"/>
          </w:tcPr>
          <w:p w14:paraId="7C4301FA" w14:textId="0A09BA55" w:rsidR="004C3BE7" w:rsidRPr="00A057B5" w:rsidRDefault="006B6D3A">
            <w:pPr>
              <w:pStyle w:val="TableParagraph"/>
              <w:ind w:left="0"/>
              <w:rPr>
                <w:rFonts w:asciiTheme="minorHAnsi" w:hAnsiTheme="minorHAnsi" w:cstheme="minorHAnsi"/>
                <w:szCs w:val="28"/>
              </w:rPr>
            </w:pPr>
            <w:r w:rsidRPr="00A057B5">
              <w:rPr>
                <w:rFonts w:asciiTheme="minorHAnsi" w:hAnsiTheme="minorHAnsi" w:cstheme="minorHAnsi"/>
                <w:szCs w:val="28"/>
              </w:rPr>
              <w:t xml:space="preserve">  Paul McMillian</w:t>
            </w:r>
          </w:p>
        </w:tc>
      </w:tr>
      <w:tr w:rsidR="004C3BE7" w:rsidRPr="00A057B5" w14:paraId="19800383" w14:textId="77777777">
        <w:trPr>
          <w:trHeight w:val="507"/>
        </w:trPr>
        <w:tc>
          <w:tcPr>
            <w:tcW w:w="5951" w:type="dxa"/>
            <w:vMerge/>
            <w:tcBorders>
              <w:top w:val="nil"/>
              <w:right w:val="single" w:sz="4" w:space="0" w:color="000000"/>
            </w:tcBorders>
            <w:shd w:val="clear" w:color="auto" w:fill="FFBCBC"/>
          </w:tcPr>
          <w:p w14:paraId="4268704A" w14:textId="77777777" w:rsidR="004C3BE7" w:rsidRPr="00A057B5" w:rsidRDefault="004C3BE7">
            <w:pPr>
              <w:rPr>
                <w:rFonts w:asciiTheme="minorHAnsi" w:hAnsiTheme="minorHAnsi" w:cstheme="minorHAnsi"/>
                <w:sz w:val="2"/>
                <w:szCs w:val="2"/>
              </w:rPr>
            </w:pPr>
          </w:p>
        </w:tc>
        <w:tc>
          <w:tcPr>
            <w:tcW w:w="1985" w:type="dxa"/>
            <w:tcBorders>
              <w:top w:val="nil"/>
              <w:left w:val="single" w:sz="4" w:space="0" w:color="000000"/>
              <w:bottom w:val="nil"/>
              <w:right w:val="single" w:sz="4" w:space="0" w:color="000000"/>
            </w:tcBorders>
          </w:tcPr>
          <w:p w14:paraId="3BA88D9E" w14:textId="77777777" w:rsidR="004C3BE7" w:rsidRPr="00A057B5" w:rsidRDefault="004C05C8">
            <w:pPr>
              <w:pStyle w:val="TableParagraph"/>
              <w:spacing w:line="253" w:lineRule="exact"/>
              <w:rPr>
                <w:rFonts w:asciiTheme="minorHAnsi" w:hAnsiTheme="minorHAnsi" w:cstheme="minorHAnsi"/>
                <w:b/>
              </w:rPr>
            </w:pPr>
            <w:r w:rsidRPr="00A057B5">
              <w:rPr>
                <w:rFonts w:asciiTheme="minorHAnsi" w:hAnsiTheme="minorHAnsi" w:cstheme="minorHAnsi"/>
                <w:b/>
              </w:rPr>
              <w:t>Application</w:t>
            </w:r>
            <w:r w:rsidRPr="00A057B5">
              <w:rPr>
                <w:rFonts w:asciiTheme="minorHAnsi" w:hAnsiTheme="minorHAnsi" w:cstheme="minorHAnsi"/>
                <w:b/>
                <w:spacing w:val="-8"/>
              </w:rPr>
              <w:t xml:space="preserve"> </w:t>
            </w:r>
            <w:r w:rsidRPr="00A057B5">
              <w:rPr>
                <w:rFonts w:asciiTheme="minorHAnsi" w:hAnsiTheme="minorHAnsi" w:cstheme="minorHAnsi"/>
                <w:b/>
                <w:spacing w:val="-2"/>
              </w:rPr>
              <w:t>Closing</w:t>
            </w:r>
          </w:p>
          <w:p w14:paraId="4C4DABDB" w14:textId="77777777" w:rsidR="004C3BE7" w:rsidRPr="00A057B5" w:rsidRDefault="004C05C8">
            <w:pPr>
              <w:pStyle w:val="TableParagraph"/>
              <w:spacing w:line="235" w:lineRule="exact"/>
              <w:rPr>
                <w:rFonts w:asciiTheme="minorHAnsi" w:hAnsiTheme="minorHAnsi" w:cstheme="minorHAnsi"/>
                <w:b/>
              </w:rPr>
            </w:pPr>
            <w:r w:rsidRPr="00A057B5">
              <w:rPr>
                <w:rFonts w:asciiTheme="minorHAnsi" w:hAnsiTheme="minorHAnsi" w:cstheme="minorHAnsi"/>
                <w:b/>
                <w:spacing w:val="-4"/>
              </w:rPr>
              <w:t>Date</w:t>
            </w:r>
          </w:p>
        </w:tc>
        <w:tc>
          <w:tcPr>
            <w:tcW w:w="2098" w:type="dxa"/>
            <w:tcBorders>
              <w:top w:val="nil"/>
              <w:left w:val="single" w:sz="4" w:space="0" w:color="000000"/>
              <w:bottom w:val="nil"/>
            </w:tcBorders>
          </w:tcPr>
          <w:p w14:paraId="5AC6D902" w14:textId="4725E3BD" w:rsidR="004C3BE7" w:rsidRPr="00A057B5" w:rsidRDefault="000D726E">
            <w:pPr>
              <w:pStyle w:val="TableParagraph"/>
              <w:spacing w:line="253" w:lineRule="exact"/>
              <w:rPr>
                <w:rFonts w:asciiTheme="minorHAnsi" w:hAnsiTheme="minorHAnsi" w:cstheme="minorHAnsi"/>
              </w:rPr>
            </w:pPr>
            <w:r>
              <w:rPr>
                <w:rFonts w:asciiTheme="minorHAnsi" w:hAnsiTheme="minorHAnsi" w:cstheme="minorHAnsi"/>
              </w:rPr>
              <w:t>See web page</w:t>
            </w:r>
          </w:p>
        </w:tc>
      </w:tr>
      <w:tr w:rsidR="004C3BE7" w:rsidRPr="00A057B5" w14:paraId="01413432" w14:textId="77777777">
        <w:trPr>
          <w:trHeight w:val="280"/>
        </w:trPr>
        <w:tc>
          <w:tcPr>
            <w:tcW w:w="5951" w:type="dxa"/>
            <w:vMerge/>
            <w:tcBorders>
              <w:top w:val="nil"/>
              <w:right w:val="single" w:sz="4" w:space="0" w:color="000000"/>
            </w:tcBorders>
            <w:shd w:val="clear" w:color="auto" w:fill="FFBCBC"/>
          </w:tcPr>
          <w:p w14:paraId="5F136DA3" w14:textId="77777777" w:rsidR="004C3BE7" w:rsidRPr="00A057B5" w:rsidRDefault="004C3BE7">
            <w:pPr>
              <w:rPr>
                <w:rFonts w:asciiTheme="minorHAnsi" w:hAnsiTheme="minorHAnsi" w:cstheme="minorHAnsi"/>
                <w:sz w:val="2"/>
                <w:szCs w:val="2"/>
              </w:rPr>
            </w:pPr>
          </w:p>
        </w:tc>
        <w:tc>
          <w:tcPr>
            <w:tcW w:w="1985" w:type="dxa"/>
            <w:tcBorders>
              <w:top w:val="nil"/>
              <w:left w:val="single" w:sz="4" w:space="0" w:color="000000"/>
              <w:right w:val="single" w:sz="4" w:space="0" w:color="000000"/>
            </w:tcBorders>
            <w:shd w:val="clear" w:color="auto" w:fill="E7E6E6"/>
          </w:tcPr>
          <w:p w14:paraId="0761F723" w14:textId="77777777" w:rsidR="004C3BE7" w:rsidRPr="00A057B5" w:rsidRDefault="004C05C8">
            <w:pPr>
              <w:pStyle w:val="TableParagraph"/>
              <w:spacing w:line="253" w:lineRule="exact"/>
              <w:rPr>
                <w:rFonts w:asciiTheme="minorHAnsi" w:hAnsiTheme="minorHAnsi" w:cstheme="minorHAnsi"/>
                <w:b/>
              </w:rPr>
            </w:pPr>
            <w:r w:rsidRPr="00A057B5">
              <w:rPr>
                <w:rFonts w:asciiTheme="minorHAnsi" w:hAnsiTheme="minorHAnsi" w:cstheme="minorHAnsi"/>
                <w:b/>
              </w:rPr>
              <w:t>PhD</w:t>
            </w:r>
            <w:r w:rsidRPr="00A057B5">
              <w:rPr>
                <w:rFonts w:asciiTheme="minorHAnsi" w:hAnsiTheme="minorHAnsi" w:cstheme="minorHAnsi"/>
                <w:b/>
                <w:spacing w:val="-4"/>
              </w:rPr>
              <w:t xml:space="preserve"> </w:t>
            </w:r>
            <w:r w:rsidRPr="00A057B5">
              <w:rPr>
                <w:rFonts w:asciiTheme="minorHAnsi" w:hAnsiTheme="minorHAnsi" w:cstheme="minorHAnsi"/>
                <w:b/>
              </w:rPr>
              <w:t>Start</w:t>
            </w:r>
            <w:r w:rsidRPr="00A057B5">
              <w:rPr>
                <w:rFonts w:asciiTheme="minorHAnsi" w:hAnsiTheme="minorHAnsi" w:cstheme="minorHAnsi"/>
                <w:b/>
                <w:spacing w:val="-2"/>
              </w:rPr>
              <w:t xml:space="preserve"> </w:t>
            </w:r>
            <w:r w:rsidRPr="00A057B5">
              <w:rPr>
                <w:rFonts w:asciiTheme="minorHAnsi" w:hAnsiTheme="minorHAnsi" w:cstheme="minorHAnsi"/>
                <w:b/>
                <w:spacing w:val="-4"/>
              </w:rPr>
              <w:t>date</w:t>
            </w:r>
          </w:p>
        </w:tc>
        <w:tc>
          <w:tcPr>
            <w:tcW w:w="2098" w:type="dxa"/>
            <w:tcBorders>
              <w:top w:val="nil"/>
              <w:left w:val="single" w:sz="4" w:space="0" w:color="000000"/>
            </w:tcBorders>
            <w:shd w:val="clear" w:color="auto" w:fill="E7E6E6"/>
          </w:tcPr>
          <w:p w14:paraId="5452A2ED" w14:textId="77777777" w:rsidR="004C3BE7" w:rsidRPr="00A057B5" w:rsidRDefault="004C05C8">
            <w:pPr>
              <w:pStyle w:val="TableParagraph"/>
              <w:spacing w:line="253" w:lineRule="exact"/>
              <w:rPr>
                <w:rFonts w:asciiTheme="minorHAnsi" w:hAnsiTheme="minorHAnsi" w:cstheme="minorHAnsi"/>
              </w:rPr>
            </w:pPr>
            <w:r w:rsidRPr="00A057B5">
              <w:rPr>
                <w:rFonts w:asciiTheme="minorHAnsi" w:hAnsiTheme="minorHAnsi" w:cstheme="minorHAnsi"/>
              </w:rPr>
              <w:t>September</w:t>
            </w:r>
            <w:r w:rsidRPr="00A057B5">
              <w:rPr>
                <w:rFonts w:asciiTheme="minorHAnsi" w:hAnsiTheme="minorHAnsi" w:cstheme="minorHAnsi"/>
                <w:spacing w:val="-2"/>
              </w:rPr>
              <w:t xml:space="preserve"> </w:t>
            </w:r>
            <w:r w:rsidRPr="00A057B5">
              <w:rPr>
                <w:rFonts w:asciiTheme="minorHAnsi" w:hAnsiTheme="minorHAnsi" w:cstheme="minorHAnsi"/>
                <w:spacing w:val="-4"/>
              </w:rPr>
              <w:t>2024</w:t>
            </w:r>
          </w:p>
        </w:tc>
      </w:tr>
    </w:tbl>
    <w:p w14:paraId="3D7C0A53" w14:textId="77777777" w:rsidR="004C3BE7" w:rsidRPr="00A057B5" w:rsidRDefault="004C05C8">
      <w:pPr>
        <w:pStyle w:val="Title"/>
        <w:rPr>
          <w:rFonts w:asciiTheme="minorHAnsi" w:hAnsiTheme="minorHAnsi" w:cstheme="minorHAnsi"/>
        </w:rPr>
      </w:pPr>
      <w:r w:rsidRPr="00A057B5">
        <w:rPr>
          <w:rFonts w:asciiTheme="minorHAnsi" w:hAnsiTheme="minorHAnsi" w:cstheme="minorHAnsi"/>
        </w:rPr>
        <w:t>Project</w:t>
      </w:r>
      <w:r w:rsidRPr="00A057B5">
        <w:rPr>
          <w:rFonts w:asciiTheme="minorHAnsi" w:hAnsiTheme="minorHAnsi" w:cstheme="minorHAnsi"/>
          <w:spacing w:val="-15"/>
        </w:rPr>
        <w:t xml:space="preserve"> </w:t>
      </w:r>
      <w:r w:rsidRPr="00A057B5">
        <w:rPr>
          <w:rFonts w:asciiTheme="minorHAnsi" w:hAnsiTheme="minorHAnsi" w:cstheme="minorHAnsi"/>
          <w:spacing w:val="-2"/>
        </w:rPr>
        <w:t>Details:</w:t>
      </w:r>
    </w:p>
    <w:p w14:paraId="6295D1FF" w14:textId="77777777" w:rsidR="004C3BE7" w:rsidRPr="00A057B5" w:rsidRDefault="004C3BE7">
      <w:pPr>
        <w:rPr>
          <w:rFonts w:asciiTheme="minorHAnsi" w:hAnsiTheme="minorHAnsi" w:cstheme="minorHAnsi"/>
        </w:rPr>
      </w:pPr>
    </w:p>
    <w:p w14:paraId="28A61CCC" w14:textId="77777777" w:rsidR="006B6D3A" w:rsidRPr="00A057B5" w:rsidRDefault="006B6D3A" w:rsidP="006B6D3A">
      <w:pPr>
        <w:rPr>
          <w:rFonts w:asciiTheme="minorHAnsi" w:hAnsiTheme="minorHAnsi" w:cstheme="minorHAnsi"/>
        </w:rPr>
      </w:pPr>
      <w:r w:rsidRPr="00A057B5">
        <w:rPr>
          <w:rFonts w:asciiTheme="minorHAnsi" w:hAnsiTheme="minorHAnsi" w:cstheme="minorHAnsi"/>
        </w:rPr>
        <w:t xml:space="preserve">One of the most fundamental problems in Astronomy is how planets form. The classic paradigm for planet formation was built solely on the basis of the Solar System data of the last century. It assumes that planets grow over Millions of years by slow accumulation of matter from their local neighbourhood. </w:t>
      </w:r>
    </w:p>
    <w:p w14:paraId="07AB8CF0" w14:textId="77777777" w:rsidR="006B6D3A" w:rsidRPr="00A057B5" w:rsidRDefault="006B6D3A" w:rsidP="006B6D3A">
      <w:pPr>
        <w:rPr>
          <w:rFonts w:asciiTheme="minorHAnsi" w:hAnsiTheme="minorHAnsi" w:cstheme="minorHAnsi"/>
        </w:rPr>
      </w:pPr>
    </w:p>
    <w:p w14:paraId="5B4A89F5" w14:textId="77777777" w:rsidR="006B6D3A" w:rsidRPr="00A057B5" w:rsidRDefault="006B6D3A" w:rsidP="006B6D3A">
      <w:pPr>
        <w:rPr>
          <w:rFonts w:asciiTheme="minorHAnsi" w:hAnsiTheme="minorHAnsi" w:cstheme="minorHAnsi"/>
        </w:rPr>
      </w:pPr>
      <w:r w:rsidRPr="00A057B5">
        <w:rPr>
          <w:rFonts w:asciiTheme="minorHAnsi" w:hAnsiTheme="minorHAnsi" w:cstheme="minorHAnsi"/>
        </w:rPr>
        <w:t xml:space="preserve">We can now observe exo-planets in ways unimaginable to our forefathers. The new data of the last 20 years are best summarised by the phrase ``no one predicted this”. The data show that planet formation is a robust process that thrives in surprisingly violent and chaotic environments nothing like the Solar System. The classic paradigm for planet formation is far from complete, and we need new ideas on how planets form. </w:t>
      </w:r>
    </w:p>
    <w:p w14:paraId="559B73BD" w14:textId="77777777" w:rsidR="006B6D3A" w:rsidRPr="00A057B5" w:rsidRDefault="006B6D3A" w:rsidP="006B6D3A">
      <w:pPr>
        <w:rPr>
          <w:rFonts w:asciiTheme="minorHAnsi" w:hAnsiTheme="minorHAnsi" w:cstheme="minorHAnsi"/>
        </w:rPr>
      </w:pPr>
    </w:p>
    <w:p w14:paraId="47B3FD8A" w14:textId="77777777" w:rsidR="006B6D3A" w:rsidRPr="00A057B5" w:rsidRDefault="006B6D3A" w:rsidP="006B6D3A">
      <w:pPr>
        <w:rPr>
          <w:rFonts w:asciiTheme="minorHAnsi" w:hAnsiTheme="minorHAnsi" w:cstheme="minorHAnsi"/>
        </w:rPr>
      </w:pPr>
      <w:r w:rsidRPr="00A057B5">
        <w:rPr>
          <w:rFonts w:asciiTheme="minorHAnsi" w:hAnsiTheme="minorHAnsi" w:cstheme="minorHAnsi"/>
        </w:rPr>
        <w:t>Sophisticated numerical simulations of the last dozen years predict that planets can form much farther away from their stars than any planet in the Solar System. ``New” physical processes – gravitational instability of protoplanetary discs, planet migration, planet-planet interactions, star-planet scatterings, to name a few – can now be studied via High Performance Computing (HPC). Our group has led the way in using HPC to try and complement the classic planet formation paradigm with new pathways for planet formation [1,2]. These simulations show that planetary systems can form in a percent of the time needed by the classical picture. Furthermore, planets form by their dozens [Fig. 2], but then interactions send some into the inner regions and in fact all the way into the star, some lose mass and become small Earth-like planets, whereas yet others are completely ejected to become Freely Floating Planets (FFPs).</w:t>
      </w:r>
    </w:p>
    <w:p w14:paraId="5F1275D7" w14:textId="77777777" w:rsidR="006B6D3A" w:rsidRPr="00A057B5" w:rsidRDefault="006B6D3A" w:rsidP="006B6D3A">
      <w:pPr>
        <w:rPr>
          <w:rFonts w:asciiTheme="minorHAnsi" w:hAnsiTheme="minorHAnsi" w:cstheme="minorHAnsi"/>
        </w:rPr>
      </w:pPr>
    </w:p>
    <w:p w14:paraId="623FA9B9" w14:textId="77777777" w:rsidR="006B6D3A" w:rsidRPr="00A057B5" w:rsidRDefault="006B6D3A" w:rsidP="006B6D3A">
      <w:pPr>
        <w:rPr>
          <w:rFonts w:asciiTheme="minorHAnsi" w:hAnsiTheme="minorHAnsi" w:cstheme="minorHAnsi"/>
        </w:rPr>
      </w:pPr>
      <w:r w:rsidRPr="00A057B5">
        <w:rPr>
          <w:rFonts w:asciiTheme="minorHAnsi" w:hAnsiTheme="minorHAnsi" w:cstheme="minorHAnsi"/>
        </w:rPr>
        <w:t xml:space="preserve">Two independent and very exciting observational results of 2023 made FFPs an extremely hot and important topic since they challenge the classic picture especially strongly.  First, microlensing observations of the last decade culminated in detecting a surprisingly high number of small planets </w:t>
      </w:r>
      <w:r w:rsidRPr="00A057B5">
        <w:rPr>
          <w:rFonts w:asciiTheme="minorHAnsi" w:hAnsiTheme="minorHAnsi" w:cstheme="minorHAnsi"/>
          <w:i/>
          <w:iCs/>
        </w:rPr>
        <w:t>not bound to any star [3]</w:t>
      </w:r>
      <w:r w:rsidRPr="00A057B5">
        <w:rPr>
          <w:rFonts w:asciiTheme="minorHAnsi" w:hAnsiTheme="minorHAnsi" w:cstheme="minorHAnsi"/>
        </w:rPr>
        <w:t>. Statistical interpretation of these observations demand about 20 FFPs per each star in the Galaxy! Second, with James Webb Space Telescope (JWST) becoming operational recently, it became possible to detect very young gas giant FFPs much more robustly. JWST discovered over a hundred such planets in the nearby Orion star forming complex, and very surprisingly, many of them are wide (~100 AU separation) binary planets [Fig. 1]. Taken together, these observations suggest that planet formation at the far outskirts of planetary systems that our group advocated in the last decade is indeed far more prevalent than previously believed.</w:t>
      </w:r>
    </w:p>
    <w:p w14:paraId="3F5EF845" w14:textId="77777777" w:rsidR="006B6D3A" w:rsidRPr="00A057B5" w:rsidRDefault="006B6D3A" w:rsidP="006B6D3A">
      <w:pPr>
        <w:rPr>
          <w:rFonts w:asciiTheme="minorHAnsi" w:hAnsiTheme="minorHAnsi" w:cstheme="minorHAnsi"/>
        </w:rPr>
      </w:pPr>
    </w:p>
    <w:p w14:paraId="396755A5" w14:textId="77777777" w:rsidR="006B6D3A" w:rsidRPr="00A057B5" w:rsidRDefault="006B6D3A" w:rsidP="006B6D3A">
      <w:pPr>
        <w:rPr>
          <w:rFonts w:asciiTheme="minorHAnsi" w:hAnsiTheme="minorHAnsi" w:cstheme="minorHAnsi"/>
        </w:rPr>
      </w:pPr>
      <w:r w:rsidRPr="00A057B5">
        <w:rPr>
          <w:rFonts w:asciiTheme="minorHAnsi" w:hAnsiTheme="minorHAnsi" w:cstheme="minorHAnsi"/>
        </w:rPr>
        <w:t xml:space="preserve">In this project we shall use HPC simulations to address planet formation via gravitational instability (GI) concurrent with stellar binary formation [Fig 2]. Past simulations focused mainly on gas giant planets formed around single stars. Such simulations show how gas giants formed by GI can be tidally disrupted to become lower mass planets. On the opposite end of the scale, some planets survive and manage to accrete so much gas as to grow into low mass stars. These (secondary) stars then eject most of the lower mass objects from the system. This model can therefore account for both low mass FFPs detected by microlensing, and the high mass FFPs detected by direct imaging. The challenge is to quantify these simulations up and to compare them with a wide array of observations. </w:t>
      </w:r>
    </w:p>
    <w:p w14:paraId="4C4D67F8" w14:textId="77777777" w:rsidR="006B6D3A" w:rsidRPr="00A057B5" w:rsidRDefault="006B6D3A" w:rsidP="006B6D3A">
      <w:pPr>
        <w:rPr>
          <w:rFonts w:asciiTheme="minorHAnsi" w:hAnsiTheme="minorHAnsi" w:cstheme="minorHAnsi"/>
        </w:rPr>
      </w:pPr>
    </w:p>
    <w:p w14:paraId="509A6471" w14:textId="6D70DC4A" w:rsidR="006B6D3A" w:rsidRPr="00A057B5" w:rsidRDefault="006B6D3A" w:rsidP="006B6D3A">
      <w:pPr>
        <w:rPr>
          <w:rFonts w:asciiTheme="minorHAnsi" w:hAnsiTheme="minorHAnsi" w:cstheme="minorHAnsi"/>
        </w:rPr>
      </w:pPr>
      <w:r w:rsidRPr="00A057B5">
        <w:rPr>
          <w:rFonts w:asciiTheme="minorHAnsi" w:hAnsiTheme="minorHAnsi" w:cstheme="minorHAnsi"/>
        </w:rPr>
        <w:t xml:space="preserve">An ideal candidate for this post will be interested in connecting theoretical/simulation work with observations. They </w:t>
      </w:r>
      <w:r w:rsidRPr="00A057B5">
        <w:rPr>
          <w:rFonts w:asciiTheme="minorHAnsi" w:hAnsiTheme="minorHAnsi" w:cstheme="minorHAnsi"/>
        </w:rPr>
        <w:lastRenderedPageBreak/>
        <w:t>will have background in Physics and/or Astronomy, and be keen on numerical work. The PhD student will be a part of the group and will be provided with well documented HPC codes that they will develop further. Their first goal will be to understand the conditions under which FFPs are formed in the simulations. Next they will try to compare this with the observations. Extension goals of the project include: other types of planets formed in the simulations (e.g., planets observed in binary systems); stellar multiple systems; flares on young stars occurring when they disrupt (consume) planets, and more.</w:t>
      </w:r>
    </w:p>
    <w:p w14:paraId="2B6A9238" w14:textId="759CCBEC" w:rsidR="00A057B5" w:rsidRPr="00A057B5" w:rsidRDefault="00A057B5" w:rsidP="00A057B5">
      <w:pPr>
        <w:spacing w:before="10"/>
        <w:ind w:left="120"/>
        <w:rPr>
          <w:rFonts w:asciiTheme="minorHAnsi" w:hAnsiTheme="minorHAnsi" w:cstheme="minorHAnsi"/>
          <w:sz w:val="44"/>
        </w:rPr>
      </w:pPr>
      <w:r w:rsidRPr="00A057B5">
        <w:rPr>
          <w:rFonts w:asciiTheme="minorHAnsi" w:hAnsiTheme="minorHAnsi" w:cstheme="minorHAnsi"/>
          <w:spacing w:val="-2"/>
          <w:sz w:val="44"/>
        </w:rPr>
        <w:t>References:</w:t>
      </w:r>
    </w:p>
    <w:p w14:paraId="3278275E" w14:textId="58932320" w:rsidR="00A057B5" w:rsidRPr="00A057B5" w:rsidRDefault="00A057B5" w:rsidP="00A057B5">
      <w:pPr>
        <w:pStyle w:val="ListParagraph"/>
        <w:numPr>
          <w:ilvl w:val="0"/>
          <w:numId w:val="3"/>
        </w:numPr>
        <w:rPr>
          <w:rFonts w:asciiTheme="minorHAnsi" w:hAnsiTheme="minorHAnsi" w:cstheme="minorHAnsi"/>
        </w:rPr>
      </w:pPr>
      <w:r w:rsidRPr="00A057B5">
        <w:rPr>
          <w:rFonts w:asciiTheme="minorHAnsi" w:hAnsiTheme="minorHAnsi" w:cstheme="minorHAnsi"/>
        </w:rPr>
        <w:t xml:space="preserve">Cha &amp; Nayakshin, 2011, MNRAS, 415, 3319 </w:t>
      </w:r>
      <w:hyperlink r:id="rId7" w:history="1">
        <w:r w:rsidRPr="00A057B5">
          <w:rPr>
            <w:rStyle w:val="Hyperlink"/>
            <w:rFonts w:asciiTheme="minorHAnsi" w:hAnsiTheme="minorHAnsi" w:cstheme="minorHAnsi"/>
          </w:rPr>
          <w:t>https://ui.adsabs.harvard.edu/abs/2011MNRAS.415.3319C/abstract</w:t>
        </w:r>
      </w:hyperlink>
    </w:p>
    <w:p w14:paraId="468AFD64" w14:textId="6BC986FE" w:rsidR="00A057B5" w:rsidRPr="00A057B5" w:rsidRDefault="00A057B5" w:rsidP="00A057B5">
      <w:pPr>
        <w:pStyle w:val="ListParagraph"/>
        <w:numPr>
          <w:ilvl w:val="0"/>
          <w:numId w:val="3"/>
        </w:numPr>
        <w:rPr>
          <w:rFonts w:asciiTheme="minorHAnsi" w:hAnsiTheme="minorHAnsi" w:cstheme="minorHAnsi"/>
        </w:rPr>
      </w:pPr>
      <w:r w:rsidRPr="00A057B5">
        <w:rPr>
          <w:rFonts w:asciiTheme="minorHAnsi" w:hAnsiTheme="minorHAnsi" w:cstheme="minorHAnsi"/>
        </w:rPr>
        <w:t xml:space="preserve">Nayakshin 2017, PASA, Dawes Reviews 7, </w:t>
      </w:r>
      <w:hyperlink r:id="rId8" w:history="1">
        <w:r w:rsidRPr="00A057B5">
          <w:rPr>
            <w:rStyle w:val="Hyperlink"/>
            <w:rFonts w:asciiTheme="minorHAnsi" w:hAnsiTheme="minorHAnsi" w:cstheme="minorHAnsi"/>
          </w:rPr>
          <w:t>https://ui.adsabs.harvard.edu/abs/2017PASA...34....2N/abstract</w:t>
        </w:r>
      </w:hyperlink>
    </w:p>
    <w:p w14:paraId="5D27C0AA" w14:textId="0787A396" w:rsidR="00A057B5" w:rsidRPr="00A057B5" w:rsidRDefault="00A057B5" w:rsidP="00A057B5">
      <w:pPr>
        <w:pStyle w:val="ListParagraph"/>
        <w:numPr>
          <w:ilvl w:val="0"/>
          <w:numId w:val="3"/>
        </w:numPr>
        <w:rPr>
          <w:rFonts w:asciiTheme="minorHAnsi" w:hAnsiTheme="minorHAnsi" w:cstheme="minorHAnsi"/>
        </w:rPr>
      </w:pPr>
      <w:r w:rsidRPr="00A057B5">
        <w:rPr>
          <w:rFonts w:asciiTheme="minorHAnsi" w:hAnsiTheme="minorHAnsi" w:cstheme="minorHAnsi"/>
        </w:rPr>
        <w:t xml:space="preserve">Sumi et al 2023, AJ, 166, </w:t>
      </w:r>
      <w:hyperlink r:id="rId9" w:history="1">
        <w:r w:rsidRPr="00A057B5">
          <w:rPr>
            <w:rStyle w:val="Hyperlink"/>
            <w:rFonts w:asciiTheme="minorHAnsi" w:hAnsiTheme="minorHAnsi" w:cstheme="minorHAnsi"/>
          </w:rPr>
          <w:t>https://ui.adsabs.harvard.edu/abs/2023AJ....166..108S/abstract</w:t>
        </w:r>
      </w:hyperlink>
    </w:p>
    <w:p w14:paraId="591723B5" w14:textId="1F29077E" w:rsidR="00A057B5" w:rsidRPr="00A057B5" w:rsidRDefault="00A057B5" w:rsidP="00A057B5">
      <w:pPr>
        <w:pStyle w:val="ListParagraph"/>
        <w:numPr>
          <w:ilvl w:val="0"/>
          <w:numId w:val="3"/>
        </w:numPr>
        <w:rPr>
          <w:rFonts w:asciiTheme="minorHAnsi" w:hAnsiTheme="minorHAnsi" w:cstheme="minorHAnsi"/>
        </w:rPr>
      </w:pPr>
      <w:r w:rsidRPr="00A057B5">
        <w:rPr>
          <w:rFonts w:asciiTheme="minorHAnsi" w:hAnsiTheme="minorHAnsi" w:cstheme="minorHAnsi"/>
        </w:rPr>
        <w:t xml:space="preserve">Pearson &amp; McCaughrean 2023, preprint, </w:t>
      </w:r>
      <w:hyperlink r:id="rId10" w:history="1">
        <w:r w:rsidRPr="00A057B5">
          <w:rPr>
            <w:rStyle w:val="Hyperlink"/>
            <w:rFonts w:asciiTheme="minorHAnsi" w:hAnsiTheme="minorHAnsi" w:cstheme="minorHAnsi"/>
          </w:rPr>
          <w:t>https://ui.adsabs.harvard.edu/abs/2023arXiv231001231P/abstract</w:t>
        </w:r>
      </w:hyperlink>
    </w:p>
    <w:p w14:paraId="2A8EBCB5" w14:textId="065B94C3" w:rsidR="006B6D3A" w:rsidRPr="00A057B5" w:rsidRDefault="00A057B5" w:rsidP="006B6D3A">
      <w:pPr>
        <w:widowControl/>
        <w:autoSpaceDE/>
        <w:autoSpaceDN/>
        <w:contextualSpacing/>
        <w:jc w:val="center"/>
        <w:rPr>
          <w:rFonts w:asciiTheme="minorHAnsi" w:hAnsiTheme="minorHAnsi" w:cstheme="minorHAnsi"/>
        </w:rPr>
      </w:pPr>
      <w:r w:rsidRPr="00A057B5">
        <w:rPr>
          <w:rFonts w:asciiTheme="minorHAnsi" w:hAnsiTheme="minorHAnsi" w:cstheme="minorHAnsi"/>
          <w:noProof/>
        </w:rPr>
        <w:drawing>
          <wp:anchor distT="0" distB="0" distL="114300" distR="114300" simplePos="0" relativeHeight="487588864" behindDoc="0" locked="0" layoutInCell="1" allowOverlap="1" wp14:anchorId="4DB594D1" wp14:editId="51F81829">
            <wp:simplePos x="0" y="0"/>
            <wp:positionH relativeFrom="margin">
              <wp:align>center</wp:align>
            </wp:positionH>
            <wp:positionV relativeFrom="paragraph">
              <wp:posOffset>198210</wp:posOffset>
            </wp:positionV>
            <wp:extent cx="4164965" cy="2717800"/>
            <wp:effectExtent l="152400" t="152400" r="368935" b="368300"/>
            <wp:wrapTopAndBottom/>
            <wp:docPr id="296879931" name="Picture 296879931" descr="A satellite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879931" name="Picture 2" descr="A satellite in the sk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64965" cy="27178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B6D3A" w:rsidRPr="00A057B5">
        <w:rPr>
          <w:rFonts w:asciiTheme="minorHAnsi" w:hAnsiTheme="minorHAnsi" w:cstheme="minorHAnsi"/>
        </w:rPr>
        <w:t>JWST NIRcam short wavelength colour composite image of the binary planet JuMBO32 in the Orion Nebula, see Fig. 1 from Pearson and McCaughrean 2023. This image is unprecedented as directly imaged planets were not yet seen to be in binaries (orbiting one another, not another star!) and in such large numbers.</w:t>
      </w:r>
    </w:p>
    <w:p w14:paraId="271E766B" w14:textId="47FA558C" w:rsidR="006B6D3A" w:rsidRPr="00A057B5" w:rsidRDefault="006B6D3A" w:rsidP="006B6D3A">
      <w:pPr>
        <w:jc w:val="center"/>
        <w:rPr>
          <w:rFonts w:asciiTheme="minorHAnsi" w:hAnsiTheme="minorHAnsi" w:cstheme="minorHAnsi"/>
        </w:rPr>
      </w:pPr>
    </w:p>
    <w:p w14:paraId="2CD6373B" w14:textId="33656E75" w:rsidR="006B6D3A" w:rsidRPr="00A057B5" w:rsidRDefault="006B6D3A" w:rsidP="006B6D3A">
      <w:pPr>
        <w:jc w:val="center"/>
        <w:rPr>
          <w:rFonts w:asciiTheme="minorHAnsi" w:hAnsiTheme="minorHAnsi" w:cstheme="minorHAnsi"/>
        </w:rPr>
      </w:pPr>
    </w:p>
    <w:p w14:paraId="231F8E02" w14:textId="171DB810" w:rsidR="006B6D3A" w:rsidRPr="00A057B5" w:rsidRDefault="006B6D3A" w:rsidP="006B6D3A">
      <w:pPr>
        <w:jc w:val="center"/>
        <w:rPr>
          <w:rFonts w:asciiTheme="minorHAnsi" w:hAnsiTheme="minorHAnsi" w:cstheme="minorHAnsi"/>
        </w:rPr>
      </w:pPr>
      <w:r w:rsidRPr="00A057B5">
        <w:rPr>
          <w:rFonts w:asciiTheme="minorHAnsi" w:hAnsiTheme="minorHAnsi" w:cstheme="minorHAnsi"/>
          <w:b/>
          <w:noProof/>
        </w:rPr>
        <w:drawing>
          <wp:anchor distT="0" distB="0" distL="114300" distR="114300" simplePos="0" relativeHeight="487589888" behindDoc="1" locked="0" layoutInCell="1" allowOverlap="1" wp14:anchorId="0C0E01FF" wp14:editId="3778B141">
            <wp:simplePos x="0" y="0"/>
            <wp:positionH relativeFrom="margin">
              <wp:align>center</wp:align>
            </wp:positionH>
            <wp:positionV relativeFrom="paragraph">
              <wp:posOffset>3573</wp:posOffset>
            </wp:positionV>
            <wp:extent cx="3718851" cy="3499499"/>
            <wp:effectExtent l="152400" t="152400" r="358140" b="367665"/>
            <wp:wrapNone/>
            <wp:docPr id="193374208" name="Picture 193374208" descr="A red and orange swir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74208" name="Picture 1" descr="A red and orange swir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718851" cy="3499499"/>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2F9260F" w14:textId="080E6D54" w:rsidR="006B6D3A" w:rsidRPr="00A057B5" w:rsidRDefault="006B6D3A" w:rsidP="006B6D3A">
      <w:pPr>
        <w:jc w:val="center"/>
        <w:rPr>
          <w:rFonts w:asciiTheme="minorHAnsi" w:hAnsiTheme="minorHAnsi" w:cstheme="minorHAnsi"/>
        </w:rPr>
      </w:pPr>
    </w:p>
    <w:p w14:paraId="7A5EFCF0" w14:textId="19FC56AC" w:rsidR="006B6D3A" w:rsidRPr="00A057B5" w:rsidRDefault="006B6D3A" w:rsidP="006B6D3A">
      <w:pPr>
        <w:jc w:val="center"/>
        <w:rPr>
          <w:rFonts w:asciiTheme="minorHAnsi" w:hAnsiTheme="minorHAnsi" w:cstheme="minorHAnsi"/>
        </w:rPr>
      </w:pPr>
    </w:p>
    <w:p w14:paraId="75864F3B" w14:textId="103E93EA" w:rsidR="006B6D3A" w:rsidRPr="00A057B5" w:rsidRDefault="006B6D3A" w:rsidP="006B6D3A">
      <w:pPr>
        <w:jc w:val="center"/>
        <w:rPr>
          <w:rFonts w:asciiTheme="minorHAnsi" w:hAnsiTheme="minorHAnsi" w:cstheme="minorHAnsi"/>
        </w:rPr>
      </w:pPr>
    </w:p>
    <w:p w14:paraId="10DC3458" w14:textId="77777777" w:rsidR="006B6D3A" w:rsidRPr="00A057B5" w:rsidRDefault="006B6D3A" w:rsidP="006B6D3A">
      <w:pPr>
        <w:jc w:val="center"/>
        <w:rPr>
          <w:rFonts w:asciiTheme="minorHAnsi" w:hAnsiTheme="minorHAnsi" w:cstheme="minorHAnsi"/>
        </w:rPr>
      </w:pPr>
    </w:p>
    <w:p w14:paraId="69C4AC73" w14:textId="77777777" w:rsidR="006B6D3A" w:rsidRPr="00A057B5" w:rsidRDefault="006B6D3A" w:rsidP="006B6D3A">
      <w:pPr>
        <w:jc w:val="center"/>
        <w:rPr>
          <w:rFonts w:asciiTheme="minorHAnsi" w:hAnsiTheme="minorHAnsi" w:cstheme="minorHAnsi"/>
        </w:rPr>
      </w:pPr>
    </w:p>
    <w:p w14:paraId="02CA3BB5" w14:textId="77777777" w:rsidR="006B6D3A" w:rsidRPr="00A057B5" w:rsidRDefault="006B6D3A" w:rsidP="006B6D3A">
      <w:pPr>
        <w:jc w:val="center"/>
        <w:rPr>
          <w:rFonts w:asciiTheme="minorHAnsi" w:hAnsiTheme="minorHAnsi" w:cstheme="minorHAnsi"/>
        </w:rPr>
      </w:pPr>
    </w:p>
    <w:p w14:paraId="6422AF85" w14:textId="77777777" w:rsidR="006B6D3A" w:rsidRPr="00A057B5" w:rsidRDefault="006B6D3A" w:rsidP="006B6D3A">
      <w:pPr>
        <w:jc w:val="center"/>
        <w:rPr>
          <w:rFonts w:asciiTheme="minorHAnsi" w:hAnsiTheme="minorHAnsi" w:cstheme="minorHAnsi"/>
        </w:rPr>
      </w:pPr>
    </w:p>
    <w:p w14:paraId="24470396" w14:textId="77777777" w:rsidR="006B6D3A" w:rsidRPr="00A057B5" w:rsidRDefault="006B6D3A" w:rsidP="006B6D3A">
      <w:pPr>
        <w:jc w:val="center"/>
        <w:rPr>
          <w:rFonts w:asciiTheme="minorHAnsi" w:hAnsiTheme="minorHAnsi" w:cstheme="minorHAnsi"/>
        </w:rPr>
      </w:pPr>
    </w:p>
    <w:p w14:paraId="584EB0DB" w14:textId="77777777" w:rsidR="006B6D3A" w:rsidRPr="00A057B5" w:rsidRDefault="006B6D3A" w:rsidP="006B6D3A">
      <w:pPr>
        <w:jc w:val="center"/>
        <w:rPr>
          <w:rFonts w:asciiTheme="minorHAnsi" w:hAnsiTheme="minorHAnsi" w:cstheme="minorHAnsi"/>
        </w:rPr>
      </w:pPr>
    </w:p>
    <w:p w14:paraId="019C34E9" w14:textId="77777777" w:rsidR="006B6D3A" w:rsidRPr="00A057B5" w:rsidRDefault="006B6D3A" w:rsidP="006B6D3A">
      <w:pPr>
        <w:jc w:val="center"/>
        <w:rPr>
          <w:rFonts w:asciiTheme="minorHAnsi" w:hAnsiTheme="minorHAnsi" w:cstheme="minorHAnsi"/>
        </w:rPr>
      </w:pPr>
    </w:p>
    <w:p w14:paraId="6D17653D" w14:textId="77777777" w:rsidR="006B6D3A" w:rsidRPr="00A057B5" w:rsidRDefault="006B6D3A" w:rsidP="006B6D3A">
      <w:pPr>
        <w:jc w:val="center"/>
        <w:rPr>
          <w:rFonts w:asciiTheme="minorHAnsi" w:hAnsiTheme="minorHAnsi" w:cstheme="minorHAnsi"/>
        </w:rPr>
      </w:pPr>
    </w:p>
    <w:p w14:paraId="7E8D9AA8" w14:textId="77777777" w:rsidR="006B6D3A" w:rsidRPr="00A057B5" w:rsidRDefault="006B6D3A" w:rsidP="006B6D3A">
      <w:pPr>
        <w:jc w:val="center"/>
        <w:rPr>
          <w:rFonts w:asciiTheme="minorHAnsi" w:hAnsiTheme="minorHAnsi" w:cstheme="minorHAnsi"/>
        </w:rPr>
      </w:pPr>
    </w:p>
    <w:p w14:paraId="6F4E804E" w14:textId="77777777" w:rsidR="006B6D3A" w:rsidRPr="00A057B5" w:rsidRDefault="006B6D3A" w:rsidP="006B6D3A">
      <w:pPr>
        <w:jc w:val="center"/>
        <w:rPr>
          <w:rFonts w:asciiTheme="minorHAnsi" w:hAnsiTheme="minorHAnsi" w:cstheme="minorHAnsi"/>
        </w:rPr>
      </w:pPr>
    </w:p>
    <w:p w14:paraId="66DFDD57" w14:textId="77777777" w:rsidR="006B6D3A" w:rsidRPr="00A057B5" w:rsidRDefault="006B6D3A" w:rsidP="006B6D3A">
      <w:pPr>
        <w:jc w:val="center"/>
        <w:rPr>
          <w:rFonts w:asciiTheme="minorHAnsi" w:hAnsiTheme="minorHAnsi" w:cstheme="minorHAnsi"/>
        </w:rPr>
      </w:pPr>
    </w:p>
    <w:p w14:paraId="3AE29A8D" w14:textId="77777777" w:rsidR="006B6D3A" w:rsidRPr="00A057B5" w:rsidRDefault="006B6D3A" w:rsidP="006B6D3A">
      <w:pPr>
        <w:jc w:val="center"/>
        <w:rPr>
          <w:rFonts w:asciiTheme="minorHAnsi" w:hAnsiTheme="minorHAnsi" w:cstheme="minorHAnsi"/>
        </w:rPr>
      </w:pPr>
    </w:p>
    <w:p w14:paraId="3DD2FF93" w14:textId="77777777" w:rsidR="006B6D3A" w:rsidRPr="00A057B5" w:rsidRDefault="006B6D3A" w:rsidP="000D726E">
      <w:pPr>
        <w:rPr>
          <w:rFonts w:asciiTheme="minorHAnsi" w:hAnsiTheme="minorHAnsi" w:cstheme="minorHAnsi"/>
        </w:rPr>
      </w:pPr>
    </w:p>
    <w:p w14:paraId="5CE1CFD8" w14:textId="77777777" w:rsidR="006B6D3A" w:rsidRDefault="006B6D3A" w:rsidP="000D726E">
      <w:pPr>
        <w:rPr>
          <w:rFonts w:asciiTheme="minorHAnsi" w:hAnsiTheme="minorHAnsi" w:cstheme="minorHAnsi"/>
        </w:rPr>
      </w:pPr>
      <w:r w:rsidRPr="00A057B5">
        <w:rPr>
          <w:rFonts w:asciiTheme="minorHAnsi" w:hAnsiTheme="minorHAnsi" w:cstheme="minorHAnsi"/>
        </w:rPr>
        <w:lastRenderedPageBreak/>
        <w:t>Numerical simulation of planet formation via Gravitational Instability of a protoplanetary disc performed in our group. The brighter the colour the denser the disc is at that location. The novelty of our approach is in resolving young planets internal structure rather than modelling them as ``sinks” (point masses). This allows us to predict accurately what happens with these planets (disruption, merger, inward migration or ejection).</w:t>
      </w:r>
    </w:p>
    <w:p w14:paraId="5EE2434B" w14:textId="77777777" w:rsidR="000D726E" w:rsidRDefault="000D726E" w:rsidP="000D726E">
      <w:pPr>
        <w:rPr>
          <w:rFonts w:asciiTheme="minorHAnsi" w:hAnsiTheme="minorHAnsi" w:cstheme="minorHAnsi"/>
        </w:rPr>
      </w:pPr>
    </w:p>
    <w:p w14:paraId="440B23C3" w14:textId="77777777" w:rsidR="004C3BE7" w:rsidRDefault="004C05C8">
      <w:pPr>
        <w:pStyle w:val="BodyText"/>
        <w:spacing w:before="9"/>
        <w:rPr>
          <w:sz w:val="25"/>
        </w:rPr>
      </w:pPr>
      <w:r w:rsidRPr="00A057B5">
        <w:rPr>
          <w:rFonts w:asciiTheme="minorHAnsi" w:hAnsiTheme="minorHAnsi" w:cstheme="minorHAnsi"/>
          <w:noProof/>
        </w:rPr>
        <mc:AlternateContent>
          <mc:Choice Requires="wps">
            <w:drawing>
              <wp:anchor distT="0" distB="0" distL="0" distR="0" simplePos="0" relativeHeight="487587840" behindDoc="1" locked="0" layoutInCell="1" allowOverlap="1" wp14:anchorId="70095CA3" wp14:editId="3233DBD1">
                <wp:simplePos x="0" y="0"/>
                <wp:positionH relativeFrom="page">
                  <wp:posOffset>571500</wp:posOffset>
                </wp:positionH>
                <wp:positionV relativeFrom="paragraph">
                  <wp:posOffset>214741</wp:posOffset>
                </wp:positionV>
                <wp:extent cx="6429375" cy="54292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9375" cy="542925"/>
                        </a:xfrm>
                        <a:prstGeom prst="rect">
                          <a:avLst/>
                        </a:prstGeom>
                        <a:solidFill>
                          <a:srgbClr val="AEABAB"/>
                        </a:solidFill>
                      </wps:spPr>
                      <wps:txbx>
                        <w:txbxContent>
                          <w:p w14:paraId="0A84AB7C" w14:textId="77777777" w:rsidR="004C3BE7" w:rsidRDefault="004C3BE7">
                            <w:pPr>
                              <w:pStyle w:val="BodyText"/>
                              <w:spacing w:before="9"/>
                              <w:rPr>
                                <w:color w:val="000000"/>
                                <w:sz w:val="16"/>
                              </w:rPr>
                            </w:pPr>
                          </w:p>
                          <w:p w14:paraId="1EB35D43" w14:textId="5AEDB992" w:rsidR="004C3BE7" w:rsidRDefault="004C05C8">
                            <w:pPr>
                              <w:pStyle w:val="BodyText"/>
                              <w:ind w:left="2032" w:right="2031"/>
                              <w:jc w:val="center"/>
                              <w:rPr>
                                <w:color w:val="FFFFFF"/>
                              </w:rPr>
                            </w:pPr>
                            <w:r>
                              <w:rPr>
                                <w:color w:val="FFFFFF"/>
                              </w:rPr>
                              <w:t>Further</w:t>
                            </w:r>
                            <w:r>
                              <w:rPr>
                                <w:color w:val="FFFFFF"/>
                                <w:spacing w:val="-4"/>
                              </w:rPr>
                              <w:t xml:space="preserve"> </w:t>
                            </w:r>
                            <w:r>
                              <w:rPr>
                                <w:color w:val="FFFFFF"/>
                              </w:rPr>
                              <w:t>information</w:t>
                            </w:r>
                            <w:r>
                              <w:rPr>
                                <w:color w:val="FFFFFF"/>
                                <w:spacing w:val="-5"/>
                              </w:rPr>
                              <w:t xml:space="preserve"> </w:t>
                            </w:r>
                            <w:r>
                              <w:rPr>
                                <w:color w:val="FFFFFF"/>
                              </w:rPr>
                              <w:t>on</w:t>
                            </w:r>
                            <w:r>
                              <w:rPr>
                                <w:color w:val="FFFFFF"/>
                                <w:spacing w:val="-4"/>
                              </w:rPr>
                              <w:t xml:space="preserve"> </w:t>
                            </w:r>
                            <w:r>
                              <w:rPr>
                                <w:color w:val="FFFFFF"/>
                              </w:rPr>
                              <w:t>how</w:t>
                            </w:r>
                            <w:r>
                              <w:rPr>
                                <w:color w:val="FFFFFF"/>
                                <w:spacing w:val="-2"/>
                              </w:rPr>
                              <w:t xml:space="preserve"> </w:t>
                            </w:r>
                            <w:r>
                              <w:rPr>
                                <w:color w:val="FFFFFF"/>
                              </w:rPr>
                              <w:t>to</w:t>
                            </w:r>
                            <w:r>
                              <w:rPr>
                                <w:color w:val="FFFFFF"/>
                                <w:spacing w:val="-3"/>
                              </w:rPr>
                              <w:t xml:space="preserve"> </w:t>
                            </w:r>
                            <w:r>
                              <w:rPr>
                                <w:color w:val="FFFFFF"/>
                              </w:rPr>
                              <w:t>apply</w:t>
                            </w:r>
                            <w:r>
                              <w:rPr>
                                <w:color w:val="FFFFFF"/>
                                <w:spacing w:val="-4"/>
                              </w:rPr>
                              <w:t xml:space="preserve"> </w:t>
                            </w:r>
                            <w:r>
                              <w:rPr>
                                <w:color w:val="FFFFFF"/>
                              </w:rPr>
                              <w:t>and</w:t>
                            </w:r>
                            <w:r>
                              <w:rPr>
                                <w:color w:val="FFFFFF"/>
                                <w:spacing w:val="-4"/>
                              </w:rPr>
                              <w:t xml:space="preserve"> </w:t>
                            </w:r>
                            <w:r>
                              <w:rPr>
                                <w:color w:val="FFFFFF"/>
                              </w:rPr>
                              <w:t>funding</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w:t>
                            </w:r>
                            <w:r w:rsidR="000D726E">
                              <w:rPr>
                                <w:color w:val="FFFFFF"/>
                              </w:rPr>
                              <w:t xml:space="preserve">d at </w:t>
                            </w:r>
                            <w:hyperlink r:id="rId13" w:history="1">
                              <w:r w:rsidR="000D726E" w:rsidRPr="00F730A6">
                                <w:rPr>
                                  <w:rStyle w:val="Hyperlink"/>
                                </w:rPr>
                                <w:t>https://le.ac.uk/study/research-degrees/funded-opportunities/stfc</w:t>
                              </w:r>
                            </w:hyperlink>
                          </w:p>
                          <w:p w14:paraId="525D7FAD" w14:textId="77777777" w:rsidR="000D726E" w:rsidRDefault="000D726E">
                            <w:pPr>
                              <w:pStyle w:val="BodyText"/>
                              <w:ind w:left="2032" w:right="2031"/>
                              <w:jc w:val="center"/>
                              <w:rPr>
                                <w:color w:val="000000"/>
                              </w:rPr>
                            </w:pPr>
                          </w:p>
                        </w:txbxContent>
                      </wps:txbx>
                      <wps:bodyPr wrap="square" lIns="0" tIns="0" rIns="0" bIns="0" rtlCol="0">
                        <a:noAutofit/>
                      </wps:bodyPr>
                    </wps:wsp>
                  </a:graphicData>
                </a:graphic>
              </wp:anchor>
            </w:drawing>
          </mc:Choice>
          <mc:Fallback>
            <w:pict>
              <v:shapetype w14:anchorId="70095CA3" id="_x0000_t202" coordsize="21600,21600" o:spt="202" path="m,l,21600r21600,l21600,xe">
                <v:stroke joinstyle="miter"/>
                <v:path gradientshapeok="t" o:connecttype="rect"/>
              </v:shapetype>
              <v:shape id="Textbox 2" o:spid="_x0000_s1026" type="#_x0000_t202" style="position:absolute;margin-left:45pt;margin-top:16.9pt;width:506.25pt;height:42.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" fillcolor="#aeabab" stroked="f">
                <v:textbox inset="0,0,0,0">
                  <w:txbxContent>
                    <w:p w14:paraId="0A84AB7C" w14:textId="77777777" w:rsidR="004C3BE7" w:rsidRDefault="004C3BE7">
                      <w:pPr>
                        <w:pStyle w:val="BodyText"/>
                        <w:spacing w:before="9"/>
                        <w:rPr>
                          <w:color w:val="000000"/>
                          <w:sz w:val="16"/>
                        </w:rPr>
                      </w:pPr>
                    </w:p>
                    <w:p w14:paraId="1EB35D43" w14:textId="5AEDB992" w:rsidR="004C3BE7" w:rsidRDefault="004C05C8">
                      <w:pPr>
                        <w:pStyle w:val="BodyText"/>
                        <w:ind w:left="2032" w:right="2031"/>
                        <w:jc w:val="center"/>
                        <w:rPr>
                          <w:color w:val="FFFFFF"/>
                        </w:rPr>
                      </w:pPr>
                      <w:r>
                        <w:rPr>
                          <w:color w:val="FFFFFF"/>
                        </w:rPr>
                        <w:t>Further</w:t>
                      </w:r>
                      <w:r>
                        <w:rPr>
                          <w:color w:val="FFFFFF"/>
                          <w:spacing w:val="-4"/>
                        </w:rPr>
                        <w:t xml:space="preserve"> </w:t>
                      </w:r>
                      <w:r>
                        <w:rPr>
                          <w:color w:val="FFFFFF"/>
                        </w:rPr>
                        <w:t>information</w:t>
                      </w:r>
                      <w:r>
                        <w:rPr>
                          <w:color w:val="FFFFFF"/>
                          <w:spacing w:val="-5"/>
                        </w:rPr>
                        <w:t xml:space="preserve"> </w:t>
                      </w:r>
                      <w:r>
                        <w:rPr>
                          <w:color w:val="FFFFFF"/>
                        </w:rPr>
                        <w:t>on</w:t>
                      </w:r>
                      <w:r>
                        <w:rPr>
                          <w:color w:val="FFFFFF"/>
                          <w:spacing w:val="-4"/>
                        </w:rPr>
                        <w:t xml:space="preserve"> </w:t>
                      </w:r>
                      <w:r>
                        <w:rPr>
                          <w:color w:val="FFFFFF"/>
                        </w:rPr>
                        <w:t>how</w:t>
                      </w:r>
                      <w:r>
                        <w:rPr>
                          <w:color w:val="FFFFFF"/>
                          <w:spacing w:val="-2"/>
                        </w:rPr>
                        <w:t xml:space="preserve"> </w:t>
                      </w:r>
                      <w:r>
                        <w:rPr>
                          <w:color w:val="FFFFFF"/>
                        </w:rPr>
                        <w:t>to</w:t>
                      </w:r>
                      <w:r>
                        <w:rPr>
                          <w:color w:val="FFFFFF"/>
                          <w:spacing w:val="-3"/>
                        </w:rPr>
                        <w:t xml:space="preserve"> </w:t>
                      </w:r>
                      <w:r>
                        <w:rPr>
                          <w:color w:val="FFFFFF"/>
                        </w:rPr>
                        <w:t>apply</w:t>
                      </w:r>
                      <w:r>
                        <w:rPr>
                          <w:color w:val="FFFFFF"/>
                          <w:spacing w:val="-4"/>
                        </w:rPr>
                        <w:t xml:space="preserve"> </w:t>
                      </w:r>
                      <w:r>
                        <w:rPr>
                          <w:color w:val="FFFFFF"/>
                        </w:rPr>
                        <w:t>and</w:t>
                      </w:r>
                      <w:r>
                        <w:rPr>
                          <w:color w:val="FFFFFF"/>
                          <w:spacing w:val="-4"/>
                        </w:rPr>
                        <w:t xml:space="preserve"> </w:t>
                      </w:r>
                      <w:r>
                        <w:rPr>
                          <w:color w:val="FFFFFF"/>
                        </w:rPr>
                        <w:t>funding</w:t>
                      </w:r>
                      <w:r>
                        <w:rPr>
                          <w:color w:val="FFFFFF"/>
                          <w:spacing w:val="-4"/>
                        </w:rPr>
                        <w:t xml:space="preserve"> </w:t>
                      </w:r>
                      <w:r>
                        <w:rPr>
                          <w:color w:val="FFFFFF"/>
                        </w:rPr>
                        <w:t>can</w:t>
                      </w:r>
                      <w:r>
                        <w:rPr>
                          <w:color w:val="FFFFFF"/>
                          <w:spacing w:val="-4"/>
                        </w:rPr>
                        <w:t xml:space="preserve"> </w:t>
                      </w:r>
                      <w:r>
                        <w:rPr>
                          <w:color w:val="FFFFFF"/>
                        </w:rPr>
                        <w:t>be</w:t>
                      </w:r>
                      <w:r>
                        <w:rPr>
                          <w:color w:val="FFFFFF"/>
                          <w:spacing w:val="-3"/>
                        </w:rPr>
                        <w:t xml:space="preserve"> </w:t>
                      </w:r>
                      <w:r>
                        <w:rPr>
                          <w:color w:val="FFFFFF"/>
                        </w:rPr>
                        <w:t>foun</w:t>
                      </w:r>
                      <w:r w:rsidR="000D726E">
                        <w:rPr>
                          <w:color w:val="FFFFFF"/>
                        </w:rPr>
                        <w:t xml:space="preserve">d at </w:t>
                      </w:r>
                      <w:hyperlink r:id="rId14" w:history="1">
                        <w:r w:rsidR="000D726E" w:rsidRPr="00F730A6">
                          <w:rPr>
                            <w:rStyle w:val="Hyperlink"/>
                          </w:rPr>
                          <w:t>https://le.ac.uk/study/research-degrees/funded-opportunities/stfc</w:t>
                        </w:r>
                      </w:hyperlink>
                    </w:p>
                    <w:p w14:paraId="525D7FAD" w14:textId="77777777" w:rsidR="000D726E" w:rsidRDefault="000D726E">
                      <w:pPr>
                        <w:pStyle w:val="BodyText"/>
                        <w:ind w:left="2032" w:right="2031"/>
                        <w:jc w:val="center"/>
                        <w:rPr>
                          <w:color w:val="000000"/>
                        </w:rPr>
                      </w:pPr>
                    </w:p>
                  </w:txbxContent>
                </v:textbox>
                <w10:wrap type="topAndBottom" anchorx="page"/>
              </v:shape>
            </w:pict>
          </mc:Fallback>
        </mc:AlternateContent>
      </w:r>
    </w:p>
    <w:sectPr w:rsidR="004C3BE7">
      <w:pgSz w:w="11910" w:h="16840"/>
      <w:pgMar w:top="1920" w:right="7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C6069"/>
    <w:multiLevelType w:val="hybridMultilevel"/>
    <w:tmpl w:val="DEA4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D4B72"/>
    <w:multiLevelType w:val="hybridMultilevel"/>
    <w:tmpl w:val="318AFCE4"/>
    <w:lvl w:ilvl="0" w:tplc="7BBAF39C">
      <w:numFmt w:val="bullet"/>
      <w:lvlText w:val=""/>
      <w:lvlJc w:val="left"/>
      <w:pPr>
        <w:ind w:left="467" w:hanging="361"/>
      </w:pPr>
      <w:rPr>
        <w:rFonts w:ascii="Symbol" w:eastAsia="Symbol" w:hAnsi="Symbol" w:cs="Symbol" w:hint="default"/>
        <w:b w:val="0"/>
        <w:bCs w:val="0"/>
        <w:i w:val="0"/>
        <w:iCs w:val="0"/>
        <w:spacing w:val="0"/>
        <w:w w:val="100"/>
        <w:sz w:val="22"/>
        <w:szCs w:val="22"/>
        <w:lang w:val="en-US" w:eastAsia="en-US" w:bidi="ar-SA"/>
      </w:rPr>
    </w:lvl>
    <w:lvl w:ilvl="1" w:tplc="3908337E">
      <w:numFmt w:val="bullet"/>
      <w:lvlText w:val="•"/>
      <w:lvlJc w:val="left"/>
      <w:pPr>
        <w:ind w:left="1007" w:hanging="361"/>
      </w:pPr>
      <w:rPr>
        <w:rFonts w:hint="default"/>
        <w:lang w:val="en-US" w:eastAsia="en-US" w:bidi="ar-SA"/>
      </w:rPr>
    </w:lvl>
    <w:lvl w:ilvl="2" w:tplc="E4344D22">
      <w:numFmt w:val="bullet"/>
      <w:lvlText w:val="•"/>
      <w:lvlJc w:val="left"/>
      <w:pPr>
        <w:ind w:left="1554" w:hanging="361"/>
      </w:pPr>
      <w:rPr>
        <w:rFonts w:hint="default"/>
        <w:lang w:val="en-US" w:eastAsia="en-US" w:bidi="ar-SA"/>
      </w:rPr>
    </w:lvl>
    <w:lvl w:ilvl="3" w:tplc="9836E10A">
      <w:numFmt w:val="bullet"/>
      <w:lvlText w:val="•"/>
      <w:lvlJc w:val="left"/>
      <w:pPr>
        <w:ind w:left="2101" w:hanging="361"/>
      </w:pPr>
      <w:rPr>
        <w:rFonts w:hint="default"/>
        <w:lang w:val="en-US" w:eastAsia="en-US" w:bidi="ar-SA"/>
      </w:rPr>
    </w:lvl>
    <w:lvl w:ilvl="4" w:tplc="CE66B650">
      <w:numFmt w:val="bullet"/>
      <w:lvlText w:val="•"/>
      <w:lvlJc w:val="left"/>
      <w:pPr>
        <w:ind w:left="2648" w:hanging="361"/>
      </w:pPr>
      <w:rPr>
        <w:rFonts w:hint="default"/>
        <w:lang w:val="en-US" w:eastAsia="en-US" w:bidi="ar-SA"/>
      </w:rPr>
    </w:lvl>
    <w:lvl w:ilvl="5" w:tplc="B6C41AD4">
      <w:numFmt w:val="bullet"/>
      <w:lvlText w:val="•"/>
      <w:lvlJc w:val="left"/>
      <w:pPr>
        <w:ind w:left="3195" w:hanging="361"/>
      </w:pPr>
      <w:rPr>
        <w:rFonts w:hint="default"/>
        <w:lang w:val="en-US" w:eastAsia="en-US" w:bidi="ar-SA"/>
      </w:rPr>
    </w:lvl>
    <w:lvl w:ilvl="6" w:tplc="AD8C69D0">
      <w:numFmt w:val="bullet"/>
      <w:lvlText w:val="•"/>
      <w:lvlJc w:val="left"/>
      <w:pPr>
        <w:ind w:left="3742" w:hanging="361"/>
      </w:pPr>
      <w:rPr>
        <w:rFonts w:hint="default"/>
        <w:lang w:val="en-US" w:eastAsia="en-US" w:bidi="ar-SA"/>
      </w:rPr>
    </w:lvl>
    <w:lvl w:ilvl="7" w:tplc="D7127BE4">
      <w:numFmt w:val="bullet"/>
      <w:lvlText w:val="•"/>
      <w:lvlJc w:val="left"/>
      <w:pPr>
        <w:ind w:left="4289" w:hanging="361"/>
      </w:pPr>
      <w:rPr>
        <w:rFonts w:hint="default"/>
        <w:lang w:val="en-US" w:eastAsia="en-US" w:bidi="ar-SA"/>
      </w:rPr>
    </w:lvl>
    <w:lvl w:ilvl="8" w:tplc="3D1CD0B4">
      <w:numFmt w:val="bullet"/>
      <w:lvlText w:val="•"/>
      <w:lvlJc w:val="left"/>
      <w:pPr>
        <w:ind w:left="4836" w:hanging="361"/>
      </w:pPr>
      <w:rPr>
        <w:rFonts w:hint="default"/>
        <w:lang w:val="en-US" w:eastAsia="en-US" w:bidi="ar-SA"/>
      </w:rPr>
    </w:lvl>
  </w:abstractNum>
  <w:abstractNum w:abstractNumId="2" w15:restartNumberingAfterBreak="0">
    <w:nsid w:val="67BB4035"/>
    <w:multiLevelType w:val="hybridMultilevel"/>
    <w:tmpl w:val="C8A04BE0"/>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E7"/>
    <w:rsid w:val="000D726E"/>
    <w:rsid w:val="00293005"/>
    <w:rsid w:val="004305E7"/>
    <w:rsid w:val="0045589A"/>
    <w:rsid w:val="004C05C8"/>
    <w:rsid w:val="004C3BE7"/>
    <w:rsid w:val="006B6D3A"/>
    <w:rsid w:val="00A057B5"/>
    <w:rsid w:val="00B56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7B8C"/>
  <w15:docId w15:val="{149928F0-1D86-463D-9509-7A214880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20"/>
    </w:pPr>
    <w:rPr>
      <w:rFonts w:ascii="Times New Roman" w:eastAsia="Times New Roman" w:hAnsi="Times New Roman" w:cs="Times New Roman"/>
      <w:b/>
      <w:bCs/>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7"/>
    </w:pPr>
  </w:style>
  <w:style w:type="character" w:styleId="Hyperlink">
    <w:name w:val="Hyperlink"/>
    <w:basedOn w:val="DefaultParagraphFont"/>
    <w:uiPriority w:val="99"/>
    <w:unhideWhenUsed/>
    <w:rsid w:val="006B6D3A"/>
    <w:rPr>
      <w:color w:val="0000FF" w:themeColor="hyperlink"/>
      <w:u w:val="single"/>
    </w:rPr>
  </w:style>
  <w:style w:type="character" w:styleId="UnresolvedMention">
    <w:name w:val="Unresolved Mention"/>
    <w:basedOn w:val="DefaultParagraphFont"/>
    <w:uiPriority w:val="99"/>
    <w:semiHidden/>
    <w:unhideWhenUsed/>
    <w:rsid w:val="000D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i.adsabs.harvard.edu/abs/2017PASA...34....2N/abstract" TargetMode="External"/><Relationship Id="rId13" Type="http://schemas.openxmlformats.org/officeDocument/2006/relationships/hyperlink" Target="https://le.ac.uk/study/research-degrees/funded-opportunities/stfc" TargetMode="External"/><Relationship Id="rId3" Type="http://schemas.openxmlformats.org/officeDocument/2006/relationships/settings" Target="settings.xml"/><Relationship Id="rId7" Type="http://schemas.openxmlformats.org/officeDocument/2006/relationships/hyperlink" Target="https://ui.adsabs.harvard.edu/abs/2011MNRAS.415.3319C/abstract"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n85@le.ac.uk"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ui.adsabs.harvard.edu/abs/2023arXiv231001231P/abstract" TargetMode="External"/><Relationship Id="rId4" Type="http://schemas.openxmlformats.org/officeDocument/2006/relationships/webSettings" Target="webSettings.xml"/><Relationship Id="rId9" Type="http://schemas.openxmlformats.org/officeDocument/2006/relationships/hyperlink" Target="https://ui.adsabs.harvard.edu/abs/2023AJ....166..108S/abstract" TargetMode="External"/><Relationship Id="rId14" Type="http://schemas.openxmlformats.org/officeDocument/2006/relationships/hyperlink" Target="https://le.ac.uk/study/research-degrees/funded-opportunities/st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Hollis, Jenny</dc:creator>
  <cp:lastModifiedBy>White, Karen L.</cp:lastModifiedBy>
  <cp:revision>3</cp:revision>
  <dcterms:created xsi:type="dcterms:W3CDTF">2023-11-14T15:50:00Z</dcterms:created>
  <dcterms:modified xsi:type="dcterms:W3CDTF">2023-11-14T16:25:00Z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LTSC</vt:lpwstr>
  </property>
  <property fmtid="{D5CDD505-2E9C-101B-9397-08002B2CF9AE}" pid="4" name="LastSaved">
    <vt:filetime>2023-10-09T00:00:00Z</vt:filetime>
  </property>
  <property fmtid="{D5CDD505-2E9C-101B-9397-08002B2CF9AE}" pid="5" name="Producer">
    <vt:lpwstr>Microsoft® Word LTSC</vt:lpwstr>
  </property>
</Properties>
</file>