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8EB1" w14:textId="77777777" w:rsidR="003C4690" w:rsidRDefault="00F478FD">
      <w:pPr>
        <w:pStyle w:val="BodyText"/>
        <w:ind w:left="120"/>
        <w:rPr>
          <w:rFonts w:ascii="Times New Roman"/>
          <w:sz w:val="20"/>
        </w:rPr>
      </w:pPr>
      <w:r>
        <w:rPr>
          <w:rFonts w:ascii="Times New Roman"/>
          <w:noProof/>
          <w:sz w:val="20"/>
        </w:rPr>
        <w:drawing>
          <wp:inline distT="0" distB="0" distL="0" distR="0" wp14:anchorId="3DEC69C7" wp14:editId="31A2D15C">
            <wp:extent cx="6559004" cy="75609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559004" cy="756094"/>
                    </a:xfrm>
                    <a:prstGeom prst="rect">
                      <a:avLst/>
                    </a:prstGeom>
                  </pic:spPr>
                </pic:pic>
              </a:graphicData>
            </a:graphic>
          </wp:inline>
        </w:drawing>
      </w:r>
    </w:p>
    <w:p w14:paraId="31CA09C6" w14:textId="77777777" w:rsidR="003C4690" w:rsidRDefault="003C4690">
      <w:pPr>
        <w:pStyle w:val="BodyText"/>
        <w:rPr>
          <w:rFonts w:ascii="Times New Roman"/>
          <w:sz w:val="20"/>
        </w:rPr>
      </w:pPr>
    </w:p>
    <w:p w14:paraId="3D0BC27E" w14:textId="3C5AFC00" w:rsidR="003C4690" w:rsidRPr="00285740" w:rsidRDefault="00D25AEB" w:rsidP="00D25AEB">
      <w:pPr>
        <w:spacing w:before="164"/>
        <w:ind w:left="120"/>
        <w:jc w:val="center"/>
        <w:rPr>
          <w:rFonts w:asciiTheme="minorHAnsi" w:hAnsiTheme="minorHAnsi" w:cstheme="minorHAnsi"/>
          <w:b/>
          <w:sz w:val="48"/>
          <w:szCs w:val="28"/>
        </w:rPr>
      </w:pPr>
      <w:r w:rsidRPr="00285740">
        <w:rPr>
          <w:rFonts w:asciiTheme="minorHAnsi" w:hAnsiTheme="minorHAnsi" w:cstheme="minorHAnsi"/>
          <w:b/>
          <w:spacing w:val="-2"/>
          <w:sz w:val="48"/>
          <w:szCs w:val="28"/>
        </w:rPr>
        <w:t>White dwarfs, planetary debris and fundamental physics</w:t>
      </w:r>
    </w:p>
    <w:p w14:paraId="07313F6F" w14:textId="77777777" w:rsidR="003C4690" w:rsidRPr="002A7215" w:rsidRDefault="003C4690">
      <w:pPr>
        <w:pStyle w:val="BodyText"/>
        <w:rPr>
          <w:rFonts w:asciiTheme="minorHAnsi" w:hAnsiTheme="minorHAnsi" w:cstheme="minorHAnsi"/>
          <w:b/>
          <w:sz w:val="13"/>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51"/>
        <w:gridCol w:w="1985"/>
        <w:gridCol w:w="2098"/>
      </w:tblGrid>
      <w:tr w:rsidR="003C4690" w:rsidRPr="002A7215" w14:paraId="4D6028D0" w14:textId="77777777">
        <w:trPr>
          <w:trHeight w:val="282"/>
        </w:trPr>
        <w:tc>
          <w:tcPr>
            <w:tcW w:w="5951" w:type="dxa"/>
            <w:vMerge w:val="restart"/>
            <w:tcBorders>
              <w:right w:val="single" w:sz="4" w:space="0" w:color="000000"/>
            </w:tcBorders>
            <w:shd w:val="clear" w:color="auto" w:fill="FFBCBC"/>
          </w:tcPr>
          <w:p w14:paraId="6BAADD0F" w14:textId="77777777" w:rsidR="00D25AEB" w:rsidRPr="002A7215" w:rsidRDefault="00D25AEB" w:rsidP="00D25AEB">
            <w:pPr>
              <w:pStyle w:val="ListParagraph"/>
              <w:numPr>
                <w:ilvl w:val="0"/>
                <w:numId w:val="1"/>
              </w:numPr>
              <w:rPr>
                <w:rFonts w:asciiTheme="minorHAnsi" w:hAnsiTheme="minorHAnsi" w:cstheme="minorHAnsi"/>
              </w:rPr>
            </w:pPr>
            <w:r w:rsidRPr="002A7215">
              <w:rPr>
                <w:rFonts w:asciiTheme="minorHAnsi" w:hAnsiTheme="minorHAnsi" w:cstheme="minorHAnsi"/>
              </w:rPr>
              <w:t>White dwarf stars are the end points of the life cycles of most stars. They are important astrophysical laboratories.</w:t>
            </w:r>
          </w:p>
          <w:p w14:paraId="624F43BD" w14:textId="77777777" w:rsidR="00D25AEB" w:rsidRPr="002A7215" w:rsidRDefault="00D25AEB" w:rsidP="00D25AEB">
            <w:pPr>
              <w:pStyle w:val="ListParagraph"/>
              <w:numPr>
                <w:ilvl w:val="0"/>
                <w:numId w:val="1"/>
              </w:numPr>
              <w:rPr>
                <w:rFonts w:asciiTheme="minorHAnsi" w:hAnsiTheme="minorHAnsi" w:cstheme="minorHAnsi"/>
              </w:rPr>
            </w:pPr>
            <w:r w:rsidRPr="002A7215">
              <w:rPr>
                <w:rFonts w:asciiTheme="minorHAnsi" w:hAnsiTheme="minorHAnsi" w:cstheme="minorHAnsi"/>
              </w:rPr>
              <w:t>White dwarfs are swallowing debris from old planetary systems. Spectra can reveal the bulk composition of planets.</w:t>
            </w:r>
          </w:p>
          <w:p w14:paraId="2879FA3B" w14:textId="6BA39815" w:rsidR="003C4690" w:rsidRPr="002A7215" w:rsidRDefault="00D25AEB" w:rsidP="00D25AEB">
            <w:pPr>
              <w:pStyle w:val="ListParagraph"/>
              <w:numPr>
                <w:ilvl w:val="0"/>
                <w:numId w:val="1"/>
              </w:numPr>
              <w:rPr>
                <w:rFonts w:asciiTheme="minorHAnsi" w:hAnsiTheme="minorHAnsi" w:cstheme="minorHAnsi"/>
              </w:rPr>
            </w:pPr>
            <w:r w:rsidRPr="002A7215">
              <w:rPr>
                <w:rFonts w:asciiTheme="minorHAnsi" w:hAnsiTheme="minorHAnsi" w:cstheme="minorHAnsi"/>
              </w:rPr>
              <w:t>The Gaia mission has provided a large sample of white dwarfs for detailed study, many of which are in binary systems.</w:t>
            </w:r>
          </w:p>
        </w:tc>
        <w:tc>
          <w:tcPr>
            <w:tcW w:w="1985" w:type="dxa"/>
            <w:tcBorders>
              <w:left w:val="single" w:sz="4" w:space="0" w:color="000000"/>
              <w:bottom w:val="nil"/>
              <w:right w:val="single" w:sz="4" w:space="0" w:color="000000"/>
            </w:tcBorders>
            <w:shd w:val="clear" w:color="auto" w:fill="E7E6E6"/>
          </w:tcPr>
          <w:p w14:paraId="6A817436" w14:textId="77777777" w:rsidR="003C4690" w:rsidRPr="002A7215" w:rsidRDefault="00F478FD">
            <w:pPr>
              <w:pStyle w:val="TableParagraph"/>
              <w:spacing w:before="1" w:line="261" w:lineRule="exact"/>
              <w:rPr>
                <w:rFonts w:asciiTheme="minorHAnsi" w:hAnsiTheme="minorHAnsi" w:cstheme="minorHAnsi"/>
                <w:b/>
              </w:rPr>
            </w:pPr>
            <w:r w:rsidRPr="002A7215">
              <w:rPr>
                <w:rFonts w:asciiTheme="minorHAnsi" w:hAnsiTheme="minorHAnsi" w:cstheme="minorHAnsi"/>
                <w:b/>
                <w:spacing w:val="-2"/>
              </w:rPr>
              <w:t>Level</w:t>
            </w:r>
          </w:p>
        </w:tc>
        <w:tc>
          <w:tcPr>
            <w:tcW w:w="2098" w:type="dxa"/>
            <w:tcBorders>
              <w:left w:val="single" w:sz="4" w:space="0" w:color="000000"/>
              <w:bottom w:val="nil"/>
            </w:tcBorders>
            <w:shd w:val="clear" w:color="auto" w:fill="E7E6E6"/>
          </w:tcPr>
          <w:p w14:paraId="0354201A" w14:textId="77777777" w:rsidR="003C4690" w:rsidRPr="002A7215" w:rsidRDefault="00F478FD">
            <w:pPr>
              <w:pStyle w:val="TableParagraph"/>
              <w:spacing w:before="1" w:line="261" w:lineRule="exact"/>
              <w:rPr>
                <w:rFonts w:asciiTheme="minorHAnsi" w:hAnsiTheme="minorHAnsi" w:cstheme="minorHAnsi"/>
              </w:rPr>
            </w:pPr>
            <w:r w:rsidRPr="002A7215">
              <w:rPr>
                <w:rFonts w:asciiTheme="minorHAnsi" w:hAnsiTheme="minorHAnsi" w:cstheme="minorHAnsi"/>
                <w:spacing w:val="-5"/>
              </w:rPr>
              <w:t>PhD</w:t>
            </w:r>
          </w:p>
        </w:tc>
      </w:tr>
      <w:tr w:rsidR="003C4690" w:rsidRPr="002A7215" w14:paraId="63A8B757" w14:textId="77777777">
        <w:trPr>
          <w:trHeight w:val="248"/>
        </w:trPr>
        <w:tc>
          <w:tcPr>
            <w:tcW w:w="5951" w:type="dxa"/>
            <w:vMerge/>
            <w:tcBorders>
              <w:top w:val="nil"/>
              <w:right w:val="single" w:sz="4" w:space="0" w:color="000000"/>
            </w:tcBorders>
            <w:shd w:val="clear" w:color="auto" w:fill="FFBCBC"/>
          </w:tcPr>
          <w:p w14:paraId="7D0A8336" w14:textId="77777777" w:rsidR="003C4690" w:rsidRPr="002A7215" w:rsidRDefault="003C4690">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1758A2AF" w14:textId="77777777" w:rsidR="003C4690" w:rsidRPr="002A7215" w:rsidRDefault="00F478FD">
            <w:pPr>
              <w:pStyle w:val="TableParagraph"/>
              <w:spacing w:line="228" w:lineRule="exact"/>
              <w:rPr>
                <w:rFonts w:asciiTheme="minorHAnsi" w:hAnsiTheme="minorHAnsi" w:cstheme="minorHAnsi"/>
                <w:b/>
              </w:rPr>
            </w:pPr>
            <w:r w:rsidRPr="002A7215">
              <w:rPr>
                <w:rFonts w:asciiTheme="minorHAnsi" w:hAnsiTheme="minorHAnsi" w:cstheme="minorHAnsi"/>
                <w:b/>
              </w:rPr>
              <w:t>First</w:t>
            </w:r>
            <w:r w:rsidRPr="002A7215">
              <w:rPr>
                <w:rFonts w:asciiTheme="minorHAnsi" w:hAnsiTheme="minorHAnsi" w:cstheme="minorHAnsi"/>
                <w:b/>
                <w:spacing w:val="-4"/>
              </w:rPr>
              <w:t xml:space="preserve"> </w:t>
            </w:r>
            <w:r w:rsidRPr="002A7215">
              <w:rPr>
                <w:rFonts w:asciiTheme="minorHAnsi" w:hAnsiTheme="minorHAnsi" w:cstheme="minorHAnsi"/>
                <w:b/>
                <w:spacing w:val="-2"/>
              </w:rPr>
              <w:t>Supervisor</w:t>
            </w:r>
          </w:p>
        </w:tc>
        <w:tc>
          <w:tcPr>
            <w:tcW w:w="2098" w:type="dxa"/>
            <w:tcBorders>
              <w:top w:val="nil"/>
              <w:left w:val="single" w:sz="4" w:space="0" w:color="000000"/>
              <w:bottom w:val="nil"/>
            </w:tcBorders>
          </w:tcPr>
          <w:p w14:paraId="06A0D786" w14:textId="2B1EC3AE" w:rsidR="003C4690" w:rsidRDefault="00D25AEB">
            <w:pPr>
              <w:pStyle w:val="TableParagraph"/>
              <w:ind w:left="0"/>
              <w:rPr>
                <w:rFonts w:asciiTheme="minorHAnsi" w:hAnsiTheme="minorHAnsi" w:cstheme="minorHAnsi"/>
              </w:rPr>
            </w:pPr>
            <w:r w:rsidRPr="002A7215">
              <w:rPr>
                <w:rFonts w:asciiTheme="minorHAnsi" w:hAnsiTheme="minorHAnsi" w:cstheme="minorHAnsi"/>
              </w:rPr>
              <w:t xml:space="preserve"> Prof Martin Barstow</w:t>
            </w:r>
          </w:p>
          <w:p w14:paraId="66B03C5A" w14:textId="26B9D4B9" w:rsidR="00F84DC2" w:rsidRDefault="00F84DC2">
            <w:pPr>
              <w:pStyle w:val="TableParagraph"/>
              <w:ind w:left="0"/>
              <w:rPr>
                <w:rFonts w:asciiTheme="minorHAnsi" w:hAnsiTheme="minorHAnsi" w:cstheme="minorHAnsi"/>
              </w:rPr>
            </w:pPr>
            <w:hyperlink r:id="rId6" w:history="1">
              <w:r w:rsidRPr="00F84DC2">
                <w:rPr>
                  <w:rStyle w:val="Hyperlink"/>
                  <w:rFonts w:asciiTheme="minorHAnsi" w:hAnsiTheme="minorHAnsi" w:cstheme="minorHAnsi"/>
                  <w:b/>
                  <w:bCs/>
                </w:rPr>
                <w:t>mab@leicester.ac.uk</w:t>
              </w:r>
            </w:hyperlink>
          </w:p>
          <w:p w14:paraId="3E65D4FD" w14:textId="382F38BF" w:rsidR="00F84DC2" w:rsidRPr="002A7215" w:rsidRDefault="00F84DC2">
            <w:pPr>
              <w:pStyle w:val="TableParagraph"/>
              <w:ind w:left="0"/>
              <w:rPr>
                <w:rFonts w:asciiTheme="minorHAnsi" w:hAnsiTheme="minorHAnsi" w:cstheme="minorHAnsi"/>
                <w:sz w:val="18"/>
              </w:rPr>
            </w:pPr>
          </w:p>
        </w:tc>
      </w:tr>
      <w:tr w:rsidR="003C4690" w:rsidRPr="002A7215" w14:paraId="11E564A4" w14:textId="77777777">
        <w:trPr>
          <w:trHeight w:val="265"/>
        </w:trPr>
        <w:tc>
          <w:tcPr>
            <w:tcW w:w="5951" w:type="dxa"/>
            <w:vMerge/>
            <w:tcBorders>
              <w:top w:val="nil"/>
              <w:right w:val="single" w:sz="4" w:space="0" w:color="000000"/>
            </w:tcBorders>
            <w:shd w:val="clear" w:color="auto" w:fill="FFBCBC"/>
          </w:tcPr>
          <w:p w14:paraId="5A8E5EBE" w14:textId="77777777" w:rsidR="003C4690" w:rsidRPr="002A7215" w:rsidRDefault="003C4690">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shd w:val="clear" w:color="auto" w:fill="E7E6E6"/>
          </w:tcPr>
          <w:p w14:paraId="22D58C92" w14:textId="77777777" w:rsidR="003C4690" w:rsidRPr="002A7215" w:rsidRDefault="00F478FD">
            <w:pPr>
              <w:pStyle w:val="TableParagraph"/>
              <w:spacing w:line="245" w:lineRule="exact"/>
              <w:rPr>
                <w:rFonts w:asciiTheme="minorHAnsi" w:hAnsiTheme="minorHAnsi" w:cstheme="minorHAnsi"/>
                <w:b/>
              </w:rPr>
            </w:pPr>
            <w:r w:rsidRPr="002A7215">
              <w:rPr>
                <w:rFonts w:asciiTheme="minorHAnsi" w:hAnsiTheme="minorHAnsi" w:cstheme="minorHAnsi"/>
                <w:b/>
              </w:rPr>
              <w:t>Second</w:t>
            </w:r>
            <w:r w:rsidRPr="002A7215">
              <w:rPr>
                <w:rFonts w:asciiTheme="minorHAnsi" w:hAnsiTheme="minorHAnsi" w:cstheme="minorHAnsi"/>
                <w:b/>
                <w:spacing w:val="-4"/>
              </w:rPr>
              <w:t xml:space="preserve"> </w:t>
            </w:r>
            <w:r w:rsidRPr="002A7215">
              <w:rPr>
                <w:rFonts w:asciiTheme="minorHAnsi" w:hAnsiTheme="minorHAnsi" w:cstheme="minorHAnsi"/>
                <w:b/>
                <w:spacing w:val="-2"/>
              </w:rPr>
              <w:t>Supervisor</w:t>
            </w:r>
          </w:p>
        </w:tc>
        <w:tc>
          <w:tcPr>
            <w:tcW w:w="2098" w:type="dxa"/>
            <w:tcBorders>
              <w:top w:val="nil"/>
              <w:left w:val="single" w:sz="4" w:space="0" w:color="000000"/>
              <w:bottom w:val="nil"/>
            </w:tcBorders>
            <w:shd w:val="clear" w:color="auto" w:fill="E7E6E6"/>
          </w:tcPr>
          <w:p w14:paraId="757E85F1" w14:textId="529BDDDA" w:rsidR="003C4690" w:rsidRPr="002A7215" w:rsidRDefault="00D25AEB">
            <w:pPr>
              <w:pStyle w:val="TableParagraph"/>
              <w:ind w:left="0"/>
              <w:rPr>
                <w:rFonts w:asciiTheme="minorHAnsi" w:hAnsiTheme="minorHAnsi" w:cstheme="minorHAnsi"/>
                <w:sz w:val="18"/>
              </w:rPr>
            </w:pPr>
            <w:r w:rsidRPr="002A7215">
              <w:rPr>
                <w:rFonts w:asciiTheme="minorHAnsi" w:hAnsiTheme="minorHAnsi" w:cstheme="minorHAnsi"/>
              </w:rPr>
              <w:t xml:space="preserve">  Dr Matt Burleigh</w:t>
            </w:r>
          </w:p>
        </w:tc>
      </w:tr>
      <w:tr w:rsidR="003C4690" w:rsidRPr="002A7215" w14:paraId="0659F151" w14:textId="77777777">
        <w:trPr>
          <w:trHeight w:val="507"/>
        </w:trPr>
        <w:tc>
          <w:tcPr>
            <w:tcW w:w="5951" w:type="dxa"/>
            <w:vMerge/>
            <w:tcBorders>
              <w:top w:val="nil"/>
              <w:right w:val="single" w:sz="4" w:space="0" w:color="000000"/>
            </w:tcBorders>
            <w:shd w:val="clear" w:color="auto" w:fill="FFBCBC"/>
          </w:tcPr>
          <w:p w14:paraId="2852A53F" w14:textId="77777777" w:rsidR="003C4690" w:rsidRPr="002A7215" w:rsidRDefault="003C4690">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059A282C" w14:textId="77777777" w:rsidR="003C4690" w:rsidRPr="002A7215" w:rsidRDefault="00F478FD">
            <w:pPr>
              <w:pStyle w:val="TableParagraph"/>
              <w:spacing w:line="253" w:lineRule="exact"/>
              <w:rPr>
                <w:rFonts w:asciiTheme="minorHAnsi" w:hAnsiTheme="minorHAnsi" w:cstheme="minorHAnsi"/>
                <w:b/>
              </w:rPr>
            </w:pPr>
            <w:r w:rsidRPr="002A7215">
              <w:rPr>
                <w:rFonts w:asciiTheme="minorHAnsi" w:hAnsiTheme="minorHAnsi" w:cstheme="minorHAnsi"/>
                <w:b/>
              </w:rPr>
              <w:t>Application</w:t>
            </w:r>
            <w:r w:rsidRPr="002A7215">
              <w:rPr>
                <w:rFonts w:asciiTheme="minorHAnsi" w:hAnsiTheme="minorHAnsi" w:cstheme="minorHAnsi"/>
                <w:b/>
                <w:spacing w:val="-8"/>
              </w:rPr>
              <w:t xml:space="preserve"> </w:t>
            </w:r>
            <w:r w:rsidRPr="002A7215">
              <w:rPr>
                <w:rFonts w:asciiTheme="minorHAnsi" w:hAnsiTheme="minorHAnsi" w:cstheme="minorHAnsi"/>
                <w:b/>
                <w:spacing w:val="-2"/>
              </w:rPr>
              <w:t>Closing</w:t>
            </w:r>
          </w:p>
          <w:p w14:paraId="0603E200" w14:textId="77777777" w:rsidR="003C4690" w:rsidRPr="002A7215" w:rsidRDefault="00F478FD">
            <w:pPr>
              <w:pStyle w:val="TableParagraph"/>
              <w:spacing w:line="235" w:lineRule="exact"/>
              <w:rPr>
                <w:rFonts w:asciiTheme="minorHAnsi" w:hAnsiTheme="minorHAnsi" w:cstheme="minorHAnsi"/>
                <w:b/>
              </w:rPr>
            </w:pPr>
            <w:r w:rsidRPr="002A7215">
              <w:rPr>
                <w:rFonts w:asciiTheme="minorHAnsi" w:hAnsiTheme="minorHAnsi" w:cstheme="minorHAnsi"/>
                <w:b/>
                <w:spacing w:val="-4"/>
              </w:rPr>
              <w:t>Date</w:t>
            </w:r>
          </w:p>
        </w:tc>
        <w:tc>
          <w:tcPr>
            <w:tcW w:w="2098" w:type="dxa"/>
            <w:tcBorders>
              <w:top w:val="nil"/>
              <w:left w:val="single" w:sz="4" w:space="0" w:color="000000"/>
              <w:bottom w:val="nil"/>
            </w:tcBorders>
          </w:tcPr>
          <w:p w14:paraId="5E01CE73" w14:textId="07CEABE2" w:rsidR="003C4690" w:rsidRPr="002A7215" w:rsidRDefault="005A5982">
            <w:pPr>
              <w:pStyle w:val="TableParagraph"/>
              <w:spacing w:line="253" w:lineRule="exact"/>
              <w:rPr>
                <w:rFonts w:asciiTheme="minorHAnsi" w:hAnsiTheme="minorHAnsi" w:cstheme="minorHAnsi"/>
              </w:rPr>
            </w:pPr>
            <w:r>
              <w:rPr>
                <w:rFonts w:asciiTheme="minorHAnsi" w:hAnsiTheme="minorHAnsi" w:cstheme="minorHAnsi"/>
              </w:rPr>
              <w:t>See web page</w:t>
            </w:r>
          </w:p>
        </w:tc>
      </w:tr>
      <w:tr w:rsidR="003C4690" w:rsidRPr="002A7215" w14:paraId="080A2CBD" w14:textId="77777777">
        <w:trPr>
          <w:trHeight w:val="280"/>
        </w:trPr>
        <w:tc>
          <w:tcPr>
            <w:tcW w:w="5951" w:type="dxa"/>
            <w:vMerge/>
            <w:tcBorders>
              <w:top w:val="nil"/>
              <w:right w:val="single" w:sz="4" w:space="0" w:color="000000"/>
            </w:tcBorders>
            <w:shd w:val="clear" w:color="auto" w:fill="FFBCBC"/>
          </w:tcPr>
          <w:p w14:paraId="438B543E" w14:textId="77777777" w:rsidR="003C4690" w:rsidRPr="002A7215" w:rsidRDefault="003C4690">
            <w:pPr>
              <w:rPr>
                <w:rFonts w:asciiTheme="minorHAnsi" w:hAnsiTheme="minorHAnsi" w:cstheme="minorHAnsi"/>
                <w:sz w:val="2"/>
                <w:szCs w:val="2"/>
              </w:rPr>
            </w:pPr>
          </w:p>
        </w:tc>
        <w:tc>
          <w:tcPr>
            <w:tcW w:w="1985" w:type="dxa"/>
            <w:tcBorders>
              <w:top w:val="nil"/>
              <w:left w:val="single" w:sz="4" w:space="0" w:color="000000"/>
              <w:right w:val="single" w:sz="4" w:space="0" w:color="000000"/>
            </w:tcBorders>
            <w:shd w:val="clear" w:color="auto" w:fill="E7E6E6"/>
          </w:tcPr>
          <w:p w14:paraId="532BA19E" w14:textId="77777777" w:rsidR="003C4690" w:rsidRPr="002A7215" w:rsidRDefault="00F478FD">
            <w:pPr>
              <w:pStyle w:val="TableParagraph"/>
              <w:spacing w:line="253" w:lineRule="exact"/>
              <w:rPr>
                <w:rFonts w:asciiTheme="minorHAnsi" w:hAnsiTheme="minorHAnsi" w:cstheme="minorHAnsi"/>
                <w:b/>
              </w:rPr>
            </w:pPr>
            <w:r w:rsidRPr="002A7215">
              <w:rPr>
                <w:rFonts w:asciiTheme="minorHAnsi" w:hAnsiTheme="minorHAnsi" w:cstheme="minorHAnsi"/>
                <w:b/>
              </w:rPr>
              <w:t>PhD</w:t>
            </w:r>
            <w:r w:rsidRPr="002A7215">
              <w:rPr>
                <w:rFonts w:asciiTheme="minorHAnsi" w:hAnsiTheme="minorHAnsi" w:cstheme="minorHAnsi"/>
                <w:b/>
                <w:spacing w:val="-4"/>
              </w:rPr>
              <w:t xml:space="preserve"> </w:t>
            </w:r>
            <w:r w:rsidRPr="002A7215">
              <w:rPr>
                <w:rFonts w:asciiTheme="minorHAnsi" w:hAnsiTheme="minorHAnsi" w:cstheme="minorHAnsi"/>
                <w:b/>
              </w:rPr>
              <w:t>Start</w:t>
            </w:r>
            <w:r w:rsidRPr="002A7215">
              <w:rPr>
                <w:rFonts w:asciiTheme="minorHAnsi" w:hAnsiTheme="minorHAnsi" w:cstheme="minorHAnsi"/>
                <w:b/>
                <w:spacing w:val="-2"/>
              </w:rPr>
              <w:t xml:space="preserve"> </w:t>
            </w:r>
            <w:r w:rsidRPr="002A7215">
              <w:rPr>
                <w:rFonts w:asciiTheme="minorHAnsi" w:hAnsiTheme="minorHAnsi" w:cstheme="minorHAnsi"/>
                <w:b/>
                <w:spacing w:val="-4"/>
              </w:rPr>
              <w:t>date</w:t>
            </w:r>
          </w:p>
        </w:tc>
        <w:tc>
          <w:tcPr>
            <w:tcW w:w="2098" w:type="dxa"/>
            <w:tcBorders>
              <w:top w:val="nil"/>
              <w:left w:val="single" w:sz="4" w:space="0" w:color="000000"/>
            </w:tcBorders>
            <w:shd w:val="clear" w:color="auto" w:fill="E7E6E6"/>
          </w:tcPr>
          <w:p w14:paraId="4BE41519" w14:textId="77777777" w:rsidR="003C4690" w:rsidRPr="002A7215" w:rsidRDefault="00F478FD">
            <w:pPr>
              <w:pStyle w:val="TableParagraph"/>
              <w:spacing w:line="253" w:lineRule="exact"/>
              <w:rPr>
                <w:rFonts w:asciiTheme="minorHAnsi" w:hAnsiTheme="minorHAnsi" w:cstheme="minorHAnsi"/>
              </w:rPr>
            </w:pPr>
            <w:r w:rsidRPr="002A7215">
              <w:rPr>
                <w:rFonts w:asciiTheme="minorHAnsi" w:hAnsiTheme="minorHAnsi" w:cstheme="minorHAnsi"/>
              </w:rPr>
              <w:t>September</w:t>
            </w:r>
            <w:r w:rsidRPr="002A7215">
              <w:rPr>
                <w:rFonts w:asciiTheme="minorHAnsi" w:hAnsiTheme="minorHAnsi" w:cstheme="minorHAnsi"/>
                <w:spacing w:val="-2"/>
              </w:rPr>
              <w:t xml:space="preserve"> </w:t>
            </w:r>
            <w:r w:rsidRPr="002A7215">
              <w:rPr>
                <w:rFonts w:asciiTheme="minorHAnsi" w:hAnsiTheme="minorHAnsi" w:cstheme="minorHAnsi"/>
                <w:spacing w:val="-4"/>
              </w:rPr>
              <w:t>2024</w:t>
            </w:r>
          </w:p>
        </w:tc>
      </w:tr>
    </w:tbl>
    <w:p w14:paraId="0962FB2C" w14:textId="77777777" w:rsidR="003C4690" w:rsidRPr="002A7215" w:rsidRDefault="00F478FD">
      <w:pPr>
        <w:pStyle w:val="Title"/>
        <w:rPr>
          <w:rFonts w:asciiTheme="minorHAnsi" w:hAnsiTheme="minorHAnsi" w:cstheme="minorHAnsi"/>
        </w:rPr>
      </w:pPr>
      <w:r w:rsidRPr="002A7215">
        <w:rPr>
          <w:rFonts w:asciiTheme="minorHAnsi" w:hAnsiTheme="minorHAnsi" w:cstheme="minorHAnsi"/>
        </w:rPr>
        <w:t>Project</w:t>
      </w:r>
      <w:r w:rsidRPr="002A7215">
        <w:rPr>
          <w:rFonts w:asciiTheme="minorHAnsi" w:hAnsiTheme="minorHAnsi" w:cstheme="minorHAnsi"/>
          <w:spacing w:val="-15"/>
        </w:rPr>
        <w:t xml:space="preserve"> </w:t>
      </w:r>
      <w:r w:rsidRPr="002A7215">
        <w:rPr>
          <w:rFonts w:asciiTheme="minorHAnsi" w:hAnsiTheme="minorHAnsi" w:cstheme="minorHAnsi"/>
          <w:spacing w:val="-2"/>
        </w:rPr>
        <w:t>Details:</w:t>
      </w:r>
    </w:p>
    <w:p w14:paraId="22A4E61E" w14:textId="77777777" w:rsidR="00D25AEB" w:rsidRPr="002A7215" w:rsidRDefault="00D25AEB" w:rsidP="00D25AEB">
      <w:pPr>
        <w:rPr>
          <w:rFonts w:asciiTheme="minorHAnsi" w:hAnsiTheme="minorHAnsi" w:cstheme="minorHAnsi"/>
        </w:rPr>
      </w:pPr>
      <w:r w:rsidRPr="002A7215">
        <w:rPr>
          <w:rFonts w:asciiTheme="minorHAnsi" w:hAnsiTheme="minorHAnsi" w:cstheme="minorHAnsi"/>
        </w:rPr>
        <w:t xml:space="preserve">White dwarfs are the end products of the life cycles of more than 90% of all stars. This makes them important laboratories for studying stellar evolution and the behaviour of matter at extremes of temperature and density. We can study the population of white dwarfs to map out the history of star formation in our Milky Way galaxy. There is growing evidence that many white dwarfs are swallowing up debris from, now destroyed, planetary systems. Measuring the abundance of this material in the atmospheres of the white dwarfs can tell us about the composition of these planets. However, we first need to understand the evolution of white dwarfs, including the composition of their atmospheres. We are using data from a variety of space missions and telescopes to study the population of white dwarfs to provide this insight. </w:t>
      </w:r>
    </w:p>
    <w:p w14:paraId="2B1CC984" w14:textId="77777777" w:rsidR="00D25AEB" w:rsidRPr="002A7215" w:rsidRDefault="00D25AEB" w:rsidP="00D25AEB">
      <w:pPr>
        <w:rPr>
          <w:rFonts w:asciiTheme="minorHAnsi" w:hAnsiTheme="minorHAnsi" w:cstheme="minorHAnsi"/>
        </w:rPr>
      </w:pPr>
    </w:p>
    <w:p w14:paraId="0A6BA4C6" w14:textId="77777777" w:rsidR="00D25AEB" w:rsidRPr="002A7215" w:rsidRDefault="00D25AEB" w:rsidP="00D25AEB">
      <w:pPr>
        <w:rPr>
          <w:rFonts w:asciiTheme="minorHAnsi" w:hAnsiTheme="minorHAnsi" w:cstheme="minorHAnsi"/>
        </w:rPr>
      </w:pPr>
      <w:r w:rsidRPr="002A7215">
        <w:rPr>
          <w:rFonts w:asciiTheme="minorHAnsi" w:hAnsiTheme="minorHAnsi" w:cstheme="minorHAnsi"/>
        </w:rPr>
        <w:t xml:space="preserve">We wish to appoint an enthusiastic PhD student to contribute to the exploitation of this data, drawn from several observational programmes. The work will involve the analysis of spectroscopic and imaging data from the ESA Gaia mission, Hubble Space Telescope (HST) and ground-based telescopes. There will also be a theoretical element to the work, using the University’s supercomputer to simulate stellar atmospheres, for comparison with the data. </w:t>
      </w:r>
    </w:p>
    <w:p w14:paraId="5E9CEEE8" w14:textId="77777777" w:rsidR="00D25AEB" w:rsidRPr="002A7215" w:rsidRDefault="00D25AEB" w:rsidP="00D25AEB">
      <w:pPr>
        <w:rPr>
          <w:rFonts w:asciiTheme="minorHAnsi" w:hAnsiTheme="minorHAnsi" w:cstheme="minorHAnsi"/>
        </w:rPr>
      </w:pPr>
    </w:p>
    <w:p w14:paraId="45863636" w14:textId="77777777" w:rsidR="00D25AEB" w:rsidRPr="002A7215" w:rsidRDefault="00D25AEB" w:rsidP="00D25AEB">
      <w:pPr>
        <w:rPr>
          <w:rFonts w:asciiTheme="minorHAnsi" w:hAnsiTheme="minorHAnsi" w:cstheme="minorHAnsi"/>
        </w:rPr>
      </w:pPr>
      <w:r w:rsidRPr="002A7215">
        <w:rPr>
          <w:rFonts w:asciiTheme="minorHAnsi" w:hAnsiTheme="minorHAnsi" w:cstheme="minorHAnsi"/>
        </w:rPr>
        <w:t xml:space="preserve">There are several lines of research in which the student can become involved, depending on personal interests: </w:t>
      </w:r>
    </w:p>
    <w:p w14:paraId="48DAA017" w14:textId="77777777" w:rsidR="00D25AEB" w:rsidRPr="002A7215" w:rsidRDefault="00D25AEB" w:rsidP="00D25AEB">
      <w:pPr>
        <w:rPr>
          <w:rFonts w:asciiTheme="minorHAnsi" w:hAnsiTheme="minorHAnsi" w:cstheme="minorHAnsi"/>
        </w:rPr>
      </w:pPr>
    </w:p>
    <w:p w14:paraId="063C7078" w14:textId="77777777" w:rsidR="00D25AEB" w:rsidRPr="002A7215" w:rsidRDefault="00D25AEB" w:rsidP="00D25AEB">
      <w:pPr>
        <w:rPr>
          <w:rFonts w:asciiTheme="minorHAnsi" w:hAnsiTheme="minorHAnsi" w:cstheme="minorHAnsi"/>
        </w:rPr>
      </w:pPr>
      <w:r w:rsidRPr="002A7215">
        <w:rPr>
          <w:rFonts w:asciiTheme="minorHAnsi" w:hAnsiTheme="minorHAnsi" w:cstheme="minorHAnsi"/>
        </w:rPr>
        <w:t xml:space="preserve">We are closely involved in the European Space Agency Gaia mission. Launched in December 2013, the satellite is carrying out a detailed survey of the entire visible galaxy to measure the positions, space motion and distances of approximately 2 billion stars. Recent data releases, have yielded a sample of 100,000 white dwarfs with low resolution spectra and approximately 800,000 binary star systems, many of which will have white dwarf companions. Combine with follow-up data from other surveys and ground-based spectroscopy, the Gaia data will allow us to characterise the white dwarfs, obtain measurements of masses and radii of unprecedented accuracy, search for hidden stellar/exo-planet companions and search for the elusive progenitors of type Ia supernova explosions. </w:t>
      </w:r>
    </w:p>
    <w:p w14:paraId="57B36477" w14:textId="77777777" w:rsidR="00D25AEB" w:rsidRPr="002A7215" w:rsidRDefault="00D25AEB" w:rsidP="00D25AEB">
      <w:pPr>
        <w:rPr>
          <w:rFonts w:asciiTheme="minorHAnsi" w:hAnsiTheme="minorHAnsi" w:cstheme="minorHAnsi"/>
        </w:rPr>
      </w:pPr>
    </w:p>
    <w:p w14:paraId="1821FDE7" w14:textId="77777777" w:rsidR="00D25AEB" w:rsidRPr="002A7215" w:rsidRDefault="00D25AEB" w:rsidP="00D25AEB">
      <w:pPr>
        <w:rPr>
          <w:rFonts w:asciiTheme="minorHAnsi" w:hAnsiTheme="minorHAnsi" w:cstheme="minorHAnsi"/>
        </w:rPr>
      </w:pPr>
      <w:r w:rsidRPr="002A7215">
        <w:rPr>
          <w:rFonts w:asciiTheme="minorHAnsi" w:hAnsiTheme="minorHAnsi" w:cstheme="minorHAnsi"/>
        </w:rPr>
        <w:t>Measurement of the abundances of C and Si in a large sample of white dwarfs shows that in all cases C is depleted, indicating that the material has a rocky origin – similar to that of asteroids. A likely explanation is that this material is collected from extra-solar planetary debris and then retained in the hot white dwarf’s envelope by the force of radiation. We now need to test this by adapting the atmospheric modeling computer programme to include these physical processes.</w:t>
      </w:r>
    </w:p>
    <w:p w14:paraId="6B164422" w14:textId="77777777" w:rsidR="00D25AEB" w:rsidRPr="002A7215" w:rsidRDefault="00D25AEB" w:rsidP="00D25AEB">
      <w:pPr>
        <w:rPr>
          <w:rFonts w:asciiTheme="minorHAnsi" w:hAnsiTheme="minorHAnsi" w:cstheme="minorHAnsi"/>
        </w:rPr>
      </w:pPr>
    </w:p>
    <w:p w14:paraId="5040B58D" w14:textId="77777777" w:rsidR="00D25AEB" w:rsidRPr="002A7215" w:rsidRDefault="00D25AEB" w:rsidP="00D25AEB">
      <w:pPr>
        <w:rPr>
          <w:rFonts w:asciiTheme="minorHAnsi" w:hAnsiTheme="minorHAnsi" w:cstheme="minorHAnsi"/>
        </w:rPr>
      </w:pPr>
      <w:r w:rsidRPr="002A7215">
        <w:rPr>
          <w:rFonts w:asciiTheme="minorHAnsi" w:hAnsiTheme="minorHAnsi" w:cstheme="minorHAnsi"/>
        </w:rPr>
        <w:t xml:space="preserve">Recently, we have shown that high spectral resolution and signal-to-noise spectra of a single hot white dwarfs can be used to measure potential changes in the value of the fundamental physical constants, such as the fine structure constant and electron/proton mass ratio, in a strong gravitational field.  The accuracy of the technique is limited by how well we know the wavelengths of atomic absorption features in the spectrum. We have acquired improved </w:t>
      </w:r>
      <w:r w:rsidRPr="002A7215">
        <w:rPr>
          <w:rFonts w:asciiTheme="minorHAnsi" w:hAnsiTheme="minorHAnsi" w:cstheme="minorHAnsi"/>
        </w:rPr>
        <w:lastRenderedPageBreak/>
        <w:t>atomic data and more high-quality spectra of other stars to continue this work.</w:t>
      </w:r>
    </w:p>
    <w:p w14:paraId="5D81BCF6" w14:textId="77777777" w:rsidR="00D25AEB" w:rsidRPr="002A7215" w:rsidRDefault="00D25AEB" w:rsidP="00D25AEB">
      <w:pPr>
        <w:rPr>
          <w:rFonts w:asciiTheme="minorHAnsi" w:hAnsiTheme="minorHAnsi" w:cstheme="minorHAnsi"/>
        </w:rPr>
      </w:pPr>
    </w:p>
    <w:p w14:paraId="49A6A397" w14:textId="77777777" w:rsidR="003C4690" w:rsidRPr="002A7215" w:rsidRDefault="00D25AEB" w:rsidP="00D25AEB">
      <w:pPr>
        <w:rPr>
          <w:rFonts w:asciiTheme="minorHAnsi" w:hAnsiTheme="minorHAnsi" w:cstheme="minorHAnsi"/>
        </w:rPr>
      </w:pPr>
      <w:r w:rsidRPr="002A7215">
        <w:rPr>
          <w:rFonts w:asciiTheme="minorHAnsi" w:hAnsiTheme="minorHAnsi" w:cstheme="minorHAnsi"/>
        </w:rPr>
        <w:t>A particular challenge of these projects is to handle a large quantity of data and models efficiently. This is likely to require the development of automated processing tools and application of artificial intelligence techniques. Therefore, a candidate with strong programming skills will be welcomed.</w:t>
      </w:r>
    </w:p>
    <w:p w14:paraId="34DA8E3D" w14:textId="77777777" w:rsidR="00350614" w:rsidRPr="002A7215" w:rsidRDefault="00350614" w:rsidP="00D25AEB">
      <w:pPr>
        <w:rPr>
          <w:rFonts w:asciiTheme="minorHAnsi" w:hAnsiTheme="minorHAnsi" w:cstheme="minorHAnsi"/>
        </w:rPr>
      </w:pPr>
    </w:p>
    <w:p w14:paraId="012241B4" w14:textId="77777777" w:rsidR="00350614" w:rsidRPr="002A7215" w:rsidRDefault="00350614" w:rsidP="00D25AEB">
      <w:pPr>
        <w:rPr>
          <w:rFonts w:asciiTheme="minorHAnsi" w:hAnsiTheme="minorHAnsi" w:cstheme="minorHAnsi"/>
        </w:rPr>
      </w:pPr>
    </w:p>
    <w:p w14:paraId="1A3F490B" w14:textId="77777777" w:rsidR="00350614" w:rsidRPr="002A7215" w:rsidRDefault="00350614" w:rsidP="00350614">
      <w:pPr>
        <w:jc w:val="both"/>
        <w:rPr>
          <w:rFonts w:asciiTheme="minorHAnsi" w:hAnsiTheme="minorHAnsi" w:cstheme="minorHAnsi"/>
        </w:rPr>
      </w:pPr>
      <w:r w:rsidRPr="002A7215">
        <w:rPr>
          <w:rFonts w:asciiTheme="minorHAnsi" w:hAnsiTheme="minorHAnsi" w:cstheme="minorHAnsi"/>
          <w:spacing w:val="-2"/>
          <w:sz w:val="44"/>
        </w:rPr>
        <w:t>References:</w:t>
      </w:r>
      <w:r w:rsidRPr="002A7215">
        <w:rPr>
          <w:rFonts w:asciiTheme="minorHAnsi" w:hAnsiTheme="minorHAnsi" w:cstheme="minorHAnsi"/>
        </w:rPr>
        <w:t xml:space="preserve"> </w:t>
      </w:r>
    </w:p>
    <w:p w14:paraId="08E1FCBF" w14:textId="77777777" w:rsidR="00350614" w:rsidRPr="002A7215" w:rsidRDefault="00350614" w:rsidP="00350614">
      <w:pPr>
        <w:jc w:val="both"/>
        <w:rPr>
          <w:rFonts w:asciiTheme="minorHAnsi" w:hAnsiTheme="minorHAnsi" w:cstheme="minorHAnsi"/>
        </w:rPr>
      </w:pPr>
      <w:r w:rsidRPr="002A7215">
        <w:rPr>
          <w:rFonts w:asciiTheme="minorHAnsi" w:hAnsiTheme="minorHAnsi" w:cstheme="minorHAnsi"/>
        </w:rPr>
        <w:t>M.A. Barstow, J.K. Barstow, S.L. Casewell, J.B. Holberg and I. Hubeny, 2014, “Evidence for an external origin of heavy elements in hot DA white dwarfs”, MNRAS, 440, 1607-1625. (May, 10.1093/mnras/stu216). 205.</w:t>
      </w:r>
    </w:p>
    <w:p w14:paraId="60A9F0E2" w14:textId="77777777" w:rsidR="00350614" w:rsidRPr="002A7215" w:rsidRDefault="00350614" w:rsidP="00350614">
      <w:pPr>
        <w:jc w:val="both"/>
        <w:rPr>
          <w:rFonts w:asciiTheme="minorHAnsi" w:hAnsiTheme="minorHAnsi" w:cstheme="minorHAnsi"/>
        </w:rPr>
      </w:pPr>
    </w:p>
    <w:p w14:paraId="728AE6DA" w14:textId="77777777" w:rsidR="00350614" w:rsidRPr="002A7215" w:rsidRDefault="00350614" w:rsidP="00350614">
      <w:pPr>
        <w:jc w:val="both"/>
        <w:rPr>
          <w:rFonts w:asciiTheme="minorHAnsi" w:hAnsiTheme="minorHAnsi" w:cstheme="minorHAnsi"/>
        </w:rPr>
      </w:pPr>
      <w:r w:rsidRPr="002A7215">
        <w:rPr>
          <w:rFonts w:asciiTheme="minorHAnsi" w:hAnsiTheme="minorHAnsi" w:cstheme="minorHAnsi"/>
        </w:rPr>
        <w:t>S.R.G. Joyce, M.A. Barstow, S.L. Casewell, M.R. Burleigh, J.B. Holberg and H.E. Bond, 2018, “Testing the white dwarf mass-radius relation and comparing optical and far-UV spectroscopic results with Gaia DR2, HST, and FUSE”, MNRAS, 479, 1612-1626 (September – DOI 10.1093/mnras/sty1425).</w:t>
      </w:r>
    </w:p>
    <w:p w14:paraId="55C72C22" w14:textId="77777777" w:rsidR="00350614" w:rsidRPr="002A7215" w:rsidRDefault="00350614" w:rsidP="00350614">
      <w:pPr>
        <w:jc w:val="both"/>
        <w:rPr>
          <w:rFonts w:asciiTheme="minorHAnsi" w:hAnsiTheme="minorHAnsi" w:cstheme="minorHAnsi"/>
        </w:rPr>
      </w:pPr>
    </w:p>
    <w:p w14:paraId="54F506C4" w14:textId="77777777" w:rsidR="00350614" w:rsidRPr="002A7215" w:rsidRDefault="00350614" w:rsidP="00350614">
      <w:pPr>
        <w:jc w:val="both"/>
        <w:rPr>
          <w:rFonts w:asciiTheme="minorHAnsi" w:hAnsiTheme="minorHAnsi" w:cstheme="minorHAnsi"/>
        </w:rPr>
      </w:pPr>
      <w:r w:rsidRPr="002A7215">
        <w:rPr>
          <w:rFonts w:asciiTheme="minorHAnsi" w:hAnsiTheme="minorHAnsi" w:cstheme="minorHAnsi"/>
        </w:rPr>
        <w:t xml:space="preserve">J.C. Berengut, V.V. Flambaum, A. Ong, J.K. Webb, J.D. Barrow, M.A. Barstow, S.P. Preval and J.B. Holberg, 2013, “Limits on the dependence of the fine-structure constant on gravitational potential from white dwarf spectra”, Phys.Rev.Letters, 111. </w:t>
      </w:r>
      <w:hyperlink r:id="rId7" w:history="1">
        <w:r w:rsidRPr="002A7215">
          <w:rPr>
            <w:rStyle w:val="Hyperlink"/>
            <w:rFonts w:asciiTheme="minorHAnsi" w:hAnsiTheme="minorHAnsi" w:cstheme="minorHAnsi"/>
          </w:rPr>
          <w:t>http://arxiv.org/abs/1305.1337</w:t>
        </w:r>
      </w:hyperlink>
    </w:p>
    <w:p w14:paraId="5711750D" w14:textId="77777777" w:rsidR="00350614" w:rsidRPr="002A7215" w:rsidRDefault="00350614" w:rsidP="00350614">
      <w:pPr>
        <w:jc w:val="both"/>
        <w:rPr>
          <w:rFonts w:asciiTheme="minorHAnsi" w:hAnsiTheme="minorHAnsi" w:cstheme="minorHAnsi"/>
        </w:rPr>
      </w:pPr>
    </w:p>
    <w:p w14:paraId="7CD46CBB" w14:textId="77777777" w:rsidR="00350614" w:rsidRPr="002A7215" w:rsidRDefault="00350614" w:rsidP="00350614">
      <w:pPr>
        <w:rPr>
          <w:rStyle w:val="Hyperlink"/>
          <w:rFonts w:asciiTheme="minorHAnsi" w:hAnsiTheme="minorHAnsi" w:cstheme="minorHAnsi"/>
          <w:color w:val="4073DD"/>
        </w:rPr>
      </w:pPr>
      <w:r w:rsidRPr="002A7215">
        <w:rPr>
          <w:rFonts w:asciiTheme="minorHAnsi" w:hAnsiTheme="minorHAnsi" w:cstheme="minorHAnsi"/>
        </w:rPr>
        <w:t>Gaia Collaboration; P. Montegrifo, M. Bellazzini, F. de Angeli, R. Andrae, M.A. Barstow, et al.,  2022, “</w:t>
      </w:r>
      <w:r w:rsidRPr="002A7215">
        <w:rPr>
          <w:rFonts w:asciiTheme="minorHAnsi" w:hAnsiTheme="minorHAnsi" w:cstheme="minorHAnsi"/>
          <w:color w:val="000000" w:themeColor="text1"/>
        </w:rPr>
        <w:t xml:space="preserve">Gaia Data Release 3: The Galaxy in your preferred colours. Synthetic photometry from Gaia low-resolution spectra”, A&amp;A, 674, A33. </w:t>
      </w:r>
      <w:hyperlink r:id="rId8" w:tgtFrame="_blank" w:history="1">
        <w:r w:rsidRPr="002A7215">
          <w:rPr>
            <w:rStyle w:val="Hyperlink"/>
            <w:rFonts w:asciiTheme="minorHAnsi" w:hAnsiTheme="minorHAnsi" w:cstheme="minorHAnsi"/>
            <w:color w:val="4073DD"/>
          </w:rPr>
          <w:t>arXiv:2206.06215</w:t>
        </w:r>
      </w:hyperlink>
    </w:p>
    <w:p w14:paraId="77514DD7" w14:textId="77777777" w:rsidR="00350614" w:rsidRPr="002A7215" w:rsidRDefault="00350614" w:rsidP="00350614">
      <w:pPr>
        <w:rPr>
          <w:rStyle w:val="Hyperlink"/>
          <w:rFonts w:asciiTheme="minorHAnsi" w:hAnsiTheme="minorHAnsi" w:cstheme="minorHAnsi"/>
          <w:color w:val="4073DD"/>
        </w:rPr>
      </w:pPr>
    </w:p>
    <w:p w14:paraId="612B6AEB" w14:textId="29693E85" w:rsidR="00D25AEB" w:rsidRPr="002A7215" w:rsidRDefault="00D25AEB" w:rsidP="00D25AEB">
      <w:pPr>
        <w:pStyle w:val="BodyText"/>
        <w:jc w:val="center"/>
        <w:rPr>
          <w:rFonts w:asciiTheme="minorHAnsi" w:hAnsiTheme="minorHAnsi" w:cstheme="minorHAnsi"/>
          <w:b/>
          <w:sz w:val="20"/>
        </w:rPr>
      </w:pPr>
      <w:r w:rsidRPr="002A7215">
        <w:rPr>
          <w:rFonts w:asciiTheme="minorHAnsi" w:hAnsiTheme="minorHAnsi" w:cstheme="minorHAnsi"/>
          <w:noProof/>
        </w:rPr>
        <w:drawing>
          <wp:inline distT="0" distB="0" distL="0" distR="0" wp14:anchorId="5E10B240" wp14:editId="05242506">
            <wp:extent cx="3772505" cy="3020127"/>
            <wp:effectExtent l="152400" t="152400" r="361950" b="3708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2478" cy="3028111"/>
                    </a:xfrm>
                    <a:prstGeom prst="rect">
                      <a:avLst/>
                    </a:prstGeom>
                    <a:ln>
                      <a:noFill/>
                    </a:ln>
                    <a:effectLst>
                      <a:outerShdw blurRad="292100" dist="139700" dir="2700000" algn="tl" rotWithShape="0">
                        <a:srgbClr val="333333">
                          <a:alpha val="65000"/>
                        </a:srgbClr>
                      </a:outerShdw>
                    </a:effectLst>
                  </pic:spPr>
                </pic:pic>
              </a:graphicData>
            </a:graphic>
          </wp:inline>
        </w:drawing>
      </w:r>
    </w:p>
    <w:p w14:paraId="0D63650B" w14:textId="77777777" w:rsidR="00D25AEB" w:rsidRPr="002A7215" w:rsidRDefault="00D25AEB" w:rsidP="00D25AEB">
      <w:pPr>
        <w:pStyle w:val="BodyText"/>
        <w:jc w:val="center"/>
        <w:rPr>
          <w:rFonts w:asciiTheme="minorHAnsi" w:hAnsiTheme="minorHAnsi" w:cstheme="minorHAnsi"/>
          <w:b/>
          <w:sz w:val="20"/>
        </w:rPr>
      </w:pPr>
    </w:p>
    <w:p w14:paraId="4E188D4C" w14:textId="1A8AD79B" w:rsidR="00D25AEB" w:rsidRPr="002A7215" w:rsidRDefault="00D25AEB" w:rsidP="00D25AEB">
      <w:pPr>
        <w:pStyle w:val="BodyText"/>
        <w:jc w:val="center"/>
        <w:rPr>
          <w:rFonts w:asciiTheme="minorHAnsi" w:hAnsiTheme="minorHAnsi" w:cstheme="minorHAnsi"/>
          <w:b/>
          <w:sz w:val="20"/>
        </w:rPr>
      </w:pPr>
      <w:r w:rsidRPr="002A7215">
        <w:rPr>
          <w:rFonts w:asciiTheme="minorHAnsi" w:hAnsiTheme="minorHAnsi" w:cstheme="minorHAnsi"/>
        </w:rPr>
        <w:t>Exoplanet and debris disk around a white dwarf</w:t>
      </w:r>
    </w:p>
    <w:p w14:paraId="2E51A2DC" w14:textId="77777777" w:rsidR="00D25AEB" w:rsidRPr="002A7215" w:rsidRDefault="00D25AEB" w:rsidP="00D25AEB">
      <w:pPr>
        <w:pStyle w:val="BodyText"/>
        <w:jc w:val="center"/>
        <w:rPr>
          <w:rFonts w:asciiTheme="minorHAnsi" w:hAnsiTheme="minorHAnsi" w:cstheme="minorHAnsi"/>
          <w:b/>
          <w:sz w:val="20"/>
        </w:rPr>
      </w:pPr>
    </w:p>
    <w:p w14:paraId="3DC5DCD1" w14:textId="77777777" w:rsidR="00D25AEB" w:rsidRPr="002A7215" w:rsidRDefault="00D25AEB" w:rsidP="00D25AEB">
      <w:pPr>
        <w:pStyle w:val="BodyText"/>
        <w:jc w:val="center"/>
        <w:rPr>
          <w:rFonts w:asciiTheme="minorHAnsi" w:hAnsiTheme="minorHAnsi" w:cstheme="minorHAnsi"/>
          <w:b/>
          <w:sz w:val="20"/>
        </w:rPr>
      </w:pPr>
    </w:p>
    <w:p w14:paraId="3EB41F04" w14:textId="77777777" w:rsidR="00D25AEB" w:rsidRPr="002A7215" w:rsidRDefault="00D25AEB" w:rsidP="00D25AEB">
      <w:pPr>
        <w:pStyle w:val="BodyText"/>
        <w:jc w:val="center"/>
        <w:rPr>
          <w:rFonts w:asciiTheme="minorHAnsi" w:hAnsiTheme="minorHAnsi" w:cstheme="minorHAnsi"/>
          <w:b/>
          <w:sz w:val="20"/>
        </w:rPr>
      </w:pPr>
    </w:p>
    <w:p w14:paraId="44B5746B" w14:textId="77777777" w:rsidR="00D25AEB" w:rsidRPr="002A7215" w:rsidRDefault="00D25AEB" w:rsidP="00D25AEB">
      <w:pPr>
        <w:pStyle w:val="BodyText"/>
        <w:jc w:val="center"/>
        <w:rPr>
          <w:rFonts w:asciiTheme="minorHAnsi" w:hAnsiTheme="minorHAnsi" w:cstheme="minorHAnsi"/>
          <w:b/>
          <w:sz w:val="20"/>
        </w:rPr>
      </w:pPr>
    </w:p>
    <w:p w14:paraId="04AD9987" w14:textId="1F16B1F3" w:rsidR="003C4690" w:rsidRPr="002A7215" w:rsidRDefault="00D25AEB" w:rsidP="00D25AEB">
      <w:pPr>
        <w:pStyle w:val="BodyText"/>
        <w:jc w:val="center"/>
        <w:rPr>
          <w:rFonts w:asciiTheme="minorHAnsi" w:hAnsiTheme="minorHAnsi" w:cstheme="minorHAnsi"/>
          <w:b/>
          <w:sz w:val="20"/>
        </w:rPr>
      </w:pPr>
      <w:r w:rsidRPr="002A7215">
        <w:rPr>
          <w:rFonts w:asciiTheme="minorHAnsi" w:hAnsiTheme="minorHAnsi" w:cstheme="minorHAnsi"/>
          <w:noProof/>
        </w:rPr>
        <w:lastRenderedPageBreak/>
        <w:drawing>
          <wp:inline distT="0" distB="0" distL="0" distR="0" wp14:anchorId="7C3DF2C4" wp14:editId="56AD0AA8">
            <wp:extent cx="2984822" cy="3731169"/>
            <wp:effectExtent l="152400" t="152400" r="368300" b="3651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0663" cy="3738470"/>
                    </a:xfrm>
                    <a:prstGeom prst="rect">
                      <a:avLst/>
                    </a:prstGeom>
                    <a:ln>
                      <a:noFill/>
                    </a:ln>
                    <a:effectLst>
                      <a:outerShdw blurRad="292100" dist="139700" dir="2700000" algn="tl" rotWithShape="0">
                        <a:srgbClr val="333333">
                          <a:alpha val="65000"/>
                        </a:srgbClr>
                      </a:outerShdw>
                    </a:effectLst>
                  </pic:spPr>
                </pic:pic>
              </a:graphicData>
            </a:graphic>
          </wp:inline>
        </w:drawing>
      </w:r>
    </w:p>
    <w:p w14:paraId="12E77B6E" w14:textId="77777777" w:rsidR="003C4690" w:rsidRPr="002A7215" w:rsidRDefault="003C4690">
      <w:pPr>
        <w:pStyle w:val="BodyText"/>
        <w:rPr>
          <w:rFonts w:asciiTheme="minorHAnsi" w:hAnsiTheme="minorHAnsi" w:cstheme="minorHAnsi"/>
          <w:b/>
          <w:sz w:val="20"/>
        </w:rPr>
      </w:pPr>
    </w:p>
    <w:p w14:paraId="075B5F06" w14:textId="77777777" w:rsidR="00D25AEB" w:rsidRPr="002A7215" w:rsidRDefault="00D25AEB" w:rsidP="00D25AEB">
      <w:pPr>
        <w:widowControl/>
        <w:autoSpaceDE/>
        <w:autoSpaceDN/>
        <w:contextualSpacing/>
        <w:jc w:val="center"/>
        <w:rPr>
          <w:rFonts w:asciiTheme="minorHAnsi" w:hAnsiTheme="minorHAnsi" w:cstheme="minorHAnsi"/>
        </w:rPr>
      </w:pPr>
      <w:r w:rsidRPr="002A7215">
        <w:rPr>
          <w:rFonts w:asciiTheme="minorHAnsi" w:hAnsiTheme="minorHAnsi" w:cstheme="minorHAnsi"/>
        </w:rPr>
        <w:t>Sirius A and its white dwarf companion, Sirius B (ESA/NASA)</w:t>
      </w:r>
    </w:p>
    <w:p w14:paraId="5576E4F4" w14:textId="77777777" w:rsidR="003C4690" w:rsidRPr="002A7215" w:rsidRDefault="003C4690" w:rsidP="00D25AEB">
      <w:pPr>
        <w:pStyle w:val="BodyText"/>
        <w:jc w:val="center"/>
        <w:rPr>
          <w:rFonts w:asciiTheme="minorHAnsi" w:hAnsiTheme="minorHAnsi" w:cstheme="minorHAnsi"/>
          <w:b/>
          <w:sz w:val="20"/>
        </w:rPr>
      </w:pPr>
    </w:p>
    <w:p w14:paraId="03640B5D" w14:textId="2E996C01" w:rsidR="00D25AEB" w:rsidRPr="002A7215" w:rsidRDefault="00D25AEB" w:rsidP="00D25AEB">
      <w:pPr>
        <w:rPr>
          <w:rFonts w:asciiTheme="minorHAnsi" w:hAnsiTheme="minorHAnsi" w:cstheme="minorHAnsi"/>
        </w:rPr>
      </w:pPr>
    </w:p>
    <w:p w14:paraId="3014ADF3" w14:textId="77777777" w:rsidR="00D25AEB" w:rsidRPr="002A7215" w:rsidRDefault="00D25AEB" w:rsidP="00D25AEB">
      <w:pPr>
        <w:jc w:val="both"/>
        <w:rPr>
          <w:rFonts w:asciiTheme="minorHAnsi" w:hAnsiTheme="minorHAnsi" w:cstheme="minorHAnsi"/>
        </w:rPr>
      </w:pPr>
    </w:p>
    <w:p w14:paraId="1380593E" w14:textId="77777777" w:rsidR="003C4690" w:rsidRPr="002A7215" w:rsidRDefault="00F478FD">
      <w:pPr>
        <w:pStyle w:val="BodyText"/>
        <w:spacing w:before="9"/>
        <w:rPr>
          <w:rFonts w:asciiTheme="minorHAnsi" w:hAnsiTheme="minorHAnsi" w:cstheme="minorHAnsi"/>
          <w:sz w:val="25"/>
        </w:rPr>
      </w:pPr>
      <w:r w:rsidRPr="002A7215">
        <w:rPr>
          <w:rFonts w:asciiTheme="minorHAnsi" w:hAnsiTheme="minorHAnsi" w:cstheme="minorHAnsi"/>
          <w:noProof/>
        </w:rPr>
        <mc:AlternateContent>
          <mc:Choice Requires="wps">
            <w:drawing>
              <wp:anchor distT="0" distB="0" distL="0" distR="0" simplePos="0" relativeHeight="487587840" behindDoc="1" locked="0" layoutInCell="1" allowOverlap="1" wp14:anchorId="4E4676A3" wp14:editId="0042183F">
                <wp:simplePos x="0" y="0"/>
                <wp:positionH relativeFrom="page">
                  <wp:posOffset>571500</wp:posOffset>
                </wp:positionH>
                <wp:positionV relativeFrom="paragraph">
                  <wp:posOffset>214741</wp:posOffset>
                </wp:positionV>
                <wp:extent cx="6429375" cy="54292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9375" cy="542925"/>
                        </a:xfrm>
                        <a:prstGeom prst="rect">
                          <a:avLst/>
                        </a:prstGeom>
                        <a:solidFill>
                          <a:srgbClr val="AEABAB"/>
                        </a:solidFill>
                      </wps:spPr>
                      <wps:txbx>
                        <w:txbxContent>
                          <w:p w14:paraId="02A8D1E0" w14:textId="77777777" w:rsidR="003C4690" w:rsidRDefault="003C4690">
                            <w:pPr>
                              <w:pStyle w:val="BodyText"/>
                              <w:spacing w:before="9"/>
                              <w:rPr>
                                <w:color w:val="000000"/>
                                <w:sz w:val="16"/>
                              </w:rPr>
                            </w:pPr>
                          </w:p>
                          <w:p w14:paraId="21883F91" w14:textId="652AEE50" w:rsidR="003C4690" w:rsidRDefault="00F478FD">
                            <w:pPr>
                              <w:pStyle w:val="BodyText"/>
                              <w:ind w:left="2032" w:right="2031"/>
                              <w:jc w:val="center"/>
                              <w:rPr>
                                <w:color w:val="FFFFFF"/>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w:t>
                            </w:r>
                            <w:r w:rsidR="005A5982">
                              <w:rPr>
                                <w:color w:val="FFFFFF"/>
                              </w:rPr>
                              <w:t>d at</w:t>
                            </w:r>
                          </w:p>
                          <w:p w14:paraId="3B0567CD" w14:textId="4E63519B" w:rsidR="005A5982" w:rsidRDefault="00F84DC2">
                            <w:pPr>
                              <w:pStyle w:val="BodyText"/>
                              <w:ind w:left="2032" w:right="2031"/>
                              <w:jc w:val="center"/>
                              <w:rPr>
                                <w:color w:val="000000"/>
                              </w:rPr>
                            </w:pPr>
                            <w:hyperlink r:id="rId11" w:history="1">
                              <w:r w:rsidR="005A5982" w:rsidRPr="00F46625">
                                <w:rPr>
                                  <w:rStyle w:val="Hyperlink"/>
                                </w:rPr>
                                <w:t>https://le.ac.uk/study/research-degrees/funded-opportunities/stfc</w:t>
                              </w:r>
                            </w:hyperlink>
                            <w:r w:rsidR="005A5982">
                              <w:rPr>
                                <w:color w:val="000000"/>
                              </w:rPr>
                              <w:t xml:space="preserve"> </w:t>
                            </w:r>
                          </w:p>
                        </w:txbxContent>
                      </wps:txbx>
                      <wps:bodyPr wrap="square" lIns="0" tIns="0" rIns="0" bIns="0" rtlCol="0">
                        <a:noAutofit/>
                      </wps:bodyPr>
                    </wps:wsp>
                  </a:graphicData>
                </a:graphic>
              </wp:anchor>
            </w:drawing>
          </mc:Choice>
          <mc:Fallback>
            <w:pict>
              <v:shapetype w14:anchorId="4E4676A3" id="_x0000_t202" coordsize="21600,21600" o:spt="202" path="m,l,21600r21600,l21600,xe">
                <v:stroke joinstyle="miter"/>
                <v:path gradientshapeok="t" o:connecttype="rect"/>
              </v:shapetype>
              <v:shape id="Textbox 2" o:spid="_x0000_s1026" type="#_x0000_t202" style="position:absolute;margin-left:45pt;margin-top:16.9pt;width:506.25pt;height:42.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" fillcolor="#aeabab" stroked="f">
                <v:textbox inset="0,0,0,0">
                  <w:txbxContent>
                    <w:p w14:paraId="02A8D1E0" w14:textId="77777777" w:rsidR="003C4690" w:rsidRDefault="003C4690">
                      <w:pPr>
                        <w:pStyle w:val="BodyText"/>
                        <w:spacing w:before="9"/>
                        <w:rPr>
                          <w:color w:val="000000"/>
                          <w:sz w:val="16"/>
                        </w:rPr>
                      </w:pPr>
                    </w:p>
                    <w:p w14:paraId="21883F91" w14:textId="652AEE50" w:rsidR="003C4690" w:rsidRDefault="00F478FD">
                      <w:pPr>
                        <w:pStyle w:val="BodyText"/>
                        <w:ind w:left="2032" w:right="2031"/>
                        <w:jc w:val="center"/>
                        <w:rPr>
                          <w:color w:val="FFFFFF"/>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w:t>
                      </w:r>
                      <w:r w:rsidR="005A5982">
                        <w:rPr>
                          <w:color w:val="FFFFFF"/>
                        </w:rPr>
                        <w:t>d at</w:t>
                      </w:r>
                    </w:p>
                    <w:p w14:paraId="3B0567CD" w14:textId="4E63519B" w:rsidR="005A5982" w:rsidRDefault="005A5982">
                      <w:pPr>
                        <w:pStyle w:val="BodyText"/>
                        <w:ind w:left="2032" w:right="2031"/>
                        <w:jc w:val="center"/>
                        <w:rPr>
                          <w:color w:val="000000"/>
                        </w:rPr>
                      </w:pPr>
                      <w:hyperlink r:id="rId12" w:history="1">
                        <w:r w:rsidRPr="00F46625">
                          <w:rPr>
                            <w:rStyle w:val="Hyperlink"/>
                          </w:rPr>
                          <w:t>https://le.ac.uk/study/research-degrees/funded-opportunities/stfc</w:t>
                        </w:r>
                      </w:hyperlink>
                      <w:r>
                        <w:rPr>
                          <w:color w:val="000000"/>
                        </w:rPr>
                        <w:t xml:space="preserve"> </w:t>
                      </w:r>
                    </w:p>
                  </w:txbxContent>
                </v:textbox>
                <w10:wrap type="topAndBottom" anchorx="page"/>
              </v:shape>
            </w:pict>
          </mc:Fallback>
        </mc:AlternateContent>
      </w:r>
    </w:p>
    <w:sectPr w:rsidR="003C4690" w:rsidRPr="002A7215">
      <w:pgSz w:w="11910" w:h="16840"/>
      <w:pgMar w:top="1920" w:right="7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C6069"/>
    <w:multiLevelType w:val="hybridMultilevel"/>
    <w:tmpl w:val="DEA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3C0F90"/>
    <w:multiLevelType w:val="hybridMultilevel"/>
    <w:tmpl w:val="5F10432C"/>
    <w:lvl w:ilvl="0" w:tplc="6F44F168">
      <w:numFmt w:val="bullet"/>
      <w:lvlText w:val=""/>
      <w:lvlJc w:val="left"/>
      <w:pPr>
        <w:ind w:left="467" w:hanging="361"/>
      </w:pPr>
      <w:rPr>
        <w:rFonts w:ascii="Symbol" w:eastAsia="Symbol" w:hAnsi="Symbol" w:cs="Symbol" w:hint="default"/>
        <w:b w:val="0"/>
        <w:bCs w:val="0"/>
        <w:i w:val="0"/>
        <w:iCs w:val="0"/>
        <w:spacing w:val="0"/>
        <w:w w:val="100"/>
        <w:sz w:val="22"/>
        <w:szCs w:val="22"/>
        <w:lang w:val="en-US" w:eastAsia="en-US" w:bidi="ar-SA"/>
      </w:rPr>
    </w:lvl>
    <w:lvl w:ilvl="1" w:tplc="BB926E68">
      <w:numFmt w:val="bullet"/>
      <w:lvlText w:val="•"/>
      <w:lvlJc w:val="left"/>
      <w:pPr>
        <w:ind w:left="1007" w:hanging="361"/>
      </w:pPr>
      <w:rPr>
        <w:rFonts w:hint="default"/>
        <w:lang w:val="en-US" w:eastAsia="en-US" w:bidi="ar-SA"/>
      </w:rPr>
    </w:lvl>
    <w:lvl w:ilvl="2" w:tplc="E7D68930">
      <w:numFmt w:val="bullet"/>
      <w:lvlText w:val="•"/>
      <w:lvlJc w:val="left"/>
      <w:pPr>
        <w:ind w:left="1554" w:hanging="361"/>
      </w:pPr>
      <w:rPr>
        <w:rFonts w:hint="default"/>
        <w:lang w:val="en-US" w:eastAsia="en-US" w:bidi="ar-SA"/>
      </w:rPr>
    </w:lvl>
    <w:lvl w:ilvl="3" w:tplc="725EE3AA">
      <w:numFmt w:val="bullet"/>
      <w:lvlText w:val="•"/>
      <w:lvlJc w:val="left"/>
      <w:pPr>
        <w:ind w:left="2101" w:hanging="361"/>
      </w:pPr>
      <w:rPr>
        <w:rFonts w:hint="default"/>
        <w:lang w:val="en-US" w:eastAsia="en-US" w:bidi="ar-SA"/>
      </w:rPr>
    </w:lvl>
    <w:lvl w:ilvl="4" w:tplc="91E0DD8C">
      <w:numFmt w:val="bullet"/>
      <w:lvlText w:val="•"/>
      <w:lvlJc w:val="left"/>
      <w:pPr>
        <w:ind w:left="2648" w:hanging="361"/>
      </w:pPr>
      <w:rPr>
        <w:rFonts w:hint="default"/>
        <w:lang w:val="en-US" w:eastAsia="en-US" w:bidi="ar-SA"/>
      </w:rPr>
    </w:lvl>
    <w:lvl w:ilvl="5" w:tplc="CBB67D68">
      <w:numFmt w:val="bullet"/>
      <w:lvlText w:val="•"/>
      <w:lvlJc w:val="left"/>
      <w:pPr>
        <w:ind w:left="3195" w:hanging="361"/>
      </w:pPr>
      <w:rPr>
        <w:rFonts w:hint="default"/>
        <w:lang w:val="en-US" w:eastAsia="en-US" w:bidi="ar-SA"/>
      </w:rPr>
    </w:lvl>
    <w:lvl w:ilvl="6" w:tplc="7C9265B8">
      <w:numFmt w:val="bullet"/>
      <w:lvlText w:val="•"/>
      <w:lvlJc w:val="left"/>
      <w:pPr>
        <w:ind w:left="3742" w:hanging="361"/>
      </w:pPr>
      <w:rPr>
        <w:rFonts w:hint="default"/>
        <w:lang w:val="en-US" w:eastAsia="en-US" w:bidi="ar-SA"/>
      </w:rPr>
    </w:lvl>
    <w:lvl w:ilvl="7" w:tplc="A0D8058E">
      <w:numFmt w:val="bullet"/>
      <w:lvlText w:val="•"/>
      <w:lvlJc w:val="left"/>
      <w:pPr>
        <w:ind w:left="4289" w:hanging="361"/>
      </w:pPr>
      <w:rPr>
        <w:rFonts w:hint="default"/>
        <w:lang w:val="en-US" w:eastAsia="en-US" w:bidi="ar-SA"/>
      </w:rPr>
    </w:lvl>
    <w:lvl w:ilvl="8" w:tplc="9670E2EA">
      <w:numFmt w:val="bullet"/>
      <w:lvlText w:val="•"/>
      <w:lvlJc w:val="left"/>
      <w:pPr>
        <w:ind w:left="4836"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90"/>
    <w:rsid w:val="00285740"/>
    <w:rsid w:val="002A7215"/>
    <w:rsid w:val="003079B8"/>
    <w:rsid w:val="00350614"/>
    <w:rsid w:val="003C4690"/>
    <w:rsid w:val="005A5982"/>
    <w:rsid w:val="00BF036D"/>
    <w:rsid w:val="00D25AEB"/>
    <w:rsid w:val="00F478FD"/>
    <w:rsid w:val="00F8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30E9"/>
  <w15:docId w15:val="{05875881-7E6C-4AA0-BABA-EEA2D98D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rFonts w:ascii="Times New Roman" w:eastAsia="Times New Roman" w:hAnsi="Times New Roman" w:cs="Times New Roman"/>
      <w:b/>
      <w:bCs/>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7"/>
    </w:pPr>
  </w:style>
  <w:style w:type="character" w:styleId="Hyperlink">
    <w:name w:val="Hyperlink"/>
    <w:basedOn w:val="DefaultParagraphFont"/>
    <w:uiPriority w:val="99"/>
    <w:unhideWhenUsed/>
    <w:rsid w:val="00D25AEB"/>
    <w:rPr>
      <w:color w:val="0000FF" w:themeColor="hyperlink"/>
      <w:u w:val="single"/>
    </w:rPr>
  </w:style>
  <w:style w:type="character" w:styleId="UnresolvedMention">
    <w:name w:val="Unresolved Mention"/>
    <w:basedOn w:val="DefaultParagraphFont"/>
    <w:uiPriority w:val="99"/>
    <w:semiHidden/>
    <w:unhideWhenUsed/>
    <w:rsid w:val="005A5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i.adsabs.harvard.edu/link_gateway/2022arXiv220606215G/arxiv:2206.062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xiv.org/abs/1305.1337" TargetMode="External"/><Relationship Id="rId12" Type="http://schemas.openxmlformats.org/officeDocument/2006/relationships/hyperlink" Target="https://le.ac.uk/study/research-degrees/funded-opportunities/st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b@leicester.ac.uk" TargetMode="External"/><Relationship Id="rId11" Type="http://schemas.openxmlformats.org/officeDocument/2006/relationships/hyperlink" Target="https://le.ac.uk/study/research-degrees/funded-opportunities/stfc"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Hollis, Jenny</dc:creator>
  <cp:lastModifiedBy>White, Karen L.</cp:lastModifiedBy>
  <cp:revision>3</cp:revision>
  <dcterms:created xsi:type="dcterms:W3CDTF">2023-11-14T15:42:00Z</dcterms:created>
  <dcterms:modified xsi:type="dcterms:W3CDTF">2023-11-14T16:35:00Z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LTSC</vt:lpwstr>
  </property>
  <property fmtid="{D5CDD505-2E9C-101B-9397-08002B2CF9AE}" pid="4" name="LastSaved">
    <vt:filetime>2023-10-09T00:00:00Z</vt:filetime>
  </property>
  <property fmtid="{D5CDD505-2E9C-101B-9397-08002B2CF9AE}" pid="5" name="Producer">
    <vt:lpwstr>Microsoft® Word LTSC</vt:lpwstr>
  </property>
</Properties>
</file>