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03FFC" w14:textId="23C65B3A" w:rsidR="00DF7480" w:rsidRPr="00DF7480" w:rsidRDefault="00DF7480" w:rsidP="00066C81">
      <w:pPr>
        <w:spacing w:after="0" w:line="240" w:lineRule="auto"/>
        <w:rPr>
          <w:rFonts w:asciiTheme="minorHAnsi" w:hAnsiTheme="minorHAnsi" w:cstheme="minorHAnsi"/>
          <w:b/>
          <w:bCs/>
          <w:color w:val="auto"/>
          <w:sz w:val="24"/>
          <w:szCs w:val="24"/>
        </w:rPr>
      </w:pPr>
      <w:r w:rsidRPr="00DF7480">
        <w:rPr>
          <w:rFonts w:asciiTheme="minorHAnsi" w:hAnsiTheme="minorHAnsi" w:cstheme="minorHAnsi"/>
          <w:b/>
          <w:bCs/>
          <w:color w:val="auto"/>
          <w:sz w:val="24"/>
          <w:szCs w:val="24"/>
        </w:rPr>
        <w:t>University of Leicester</w:t>
      </w:r>
    </w:p>
    <w:p w14:paraId="0BA67A25" w14:textId="48B083BB" w:rsidR="00DF7480" w:rsidRPr="00DF7480" w:rsidRDefault="00DF7480" w:rsidP="00066C81">
      <w:pPr>
        <w:spacing w:after="0" w:line="240" w:lineRule="auto"/>
        <w:rPr>
          <w:rFonts w:asciiTheme="minorHAnsi" w:hAnsiTheme="minorHAnsi" w:cstheme="minorHAnsi"/>
          <w:b/>
          <w:bCs/>
          <w:color w:val="auto"/>
          <w:sz w:val="24"/>
          <w:szCs w:val="24"/>
        </w:rPr>
      </w:pPr>
      <w:r w:rsidRPr="00DF7480">
        <w:rPr>
          <w:rFonts w:asciiTheme="minorHAnsi" w:hAnsiTheme="minorHAnsi" w:cstheme="minorHAnsi"/>
          <w:b/>
          <w:bCs/>
          <w:color w:val="auto"/>
          <w:sz w:val="24"/>
          <w:szCs w:val="24"/>
        </w:rPr>
        <w:t>BBSRC MIBTP Studentship Project 2024-5 entry.</w:t>
      </w:r>
    </w:p>
    <w:p w14:paraId="1388D2E7"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033671C" w14:textId="77777777" w:rsidTr="00ED69E6">
        <w:tc>
          <w:tcPr>
            <w:tcW w:w="3227" w:type="dxa"/>
            <w:shd w:val="clear" w:color="auto" w:fill="F2F2F2" w:themeFill="background1" w:themeFillShade="F2"/>
          </w:tcPr>
          <w:p w14:paraId="030FAB35" w14:textId="77777777" w:rsidR="00066C81" w:rsidRPr="00066C81" w:rsidRDefault="00066C81" w:rsidP="00066C81">
            <w:pPr>
              <w:rPr>
                <w:b/>
              </w:rPr>
            </w:pPr>
            <w:r w:rsidRPr="00066C81">
              <w:rPr>
                <w:b/>
              </w:rPr>
              <w:t>Project Reference</w:t>
            </w:r>
          </w:p>
        </w:tc>
        <w:tc>
          <w:tcPr>
            <w:tcW w:w="5807" w:type="dxa"/>
          </w:tcPr>
          <w:p w14:paraId="0B27C814" w14:textId="77777777" w:rsidR="00066C81" w:rsidRPr="00066C81" w:rsidRDefault="00066C81" w:rsidP="00066C81"/>
        </w:tc>
      </w:tr>
    </w:tbl>
    <w:p w14:paraId="1F075E5A"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02121747" w14:textId="77777777" w:rsidTr="00ED69E6">
        <w:tc>
          <w:tcPr>
            <w:tcW w:w="3227" w:type="dxa"/>
            <w:shd w:val="clear" w:color="auto" w:fill="F2F2F2" w:themeFill="background1" w:themeFillShade="F2"/>
          </w:tcPr>
          <w:p w14:paraId="78BB6E55" w14:textId="77777777" w:rsidR="00066C81" w:rsidRPr="00066C81" w:rsidRDefault="00066C81" w:rsidP="00066C81">
            <w:pPr>
              <w:rPr>
                <w:b/>
              </w:rPr>
            </w:pPr>
            <w:r w:rsidRPr="00066C81">
              <w:rPr>
                <w:b/>
              </w:rPr>
              <w:t>First Supervisor</w:t>
            </w:r>
          </w:p>
        </w:tc>
        <w:tc>
          <w:tcPr>
            <w:tcW w:w="5807" w:type="dxa"/>
          </w:tcPr>
          <w:p w14:paraId="4984ADF3" w14:textId="7A1A9906" w:rsidR="00066C81" w:rsidRPr="00066C81" w:rsidRDefault="009B5A92" w:rsidP="00066C81">
            <w:r>
              <w:rPr>
                <w:rStyle w:val="normaltextrun"/>
                <w:rFonts w:ascii="Arial" w:hAnsi="Arial" w:cs="Arial"/>
                <w:bdr w:val="none" w:sz="0" w:space="0" w:color="auto" w:frame="1"/>
              </w:rPr>
              <w:t>Dr Mervyn Thomas</w:t>
            </w:r>
          </w:p>
        </w:tc>
      </w:tr>
      <w:tr w:rsidR="00066C81" w:rsidRPr="00066C81" w14:paraId="6DC0E45D" w14:textId="77777777" w:rsidTr="00ED69E6">
        <w:tc>
          <w:tcPr>
            <w:tcW w:w="3227" w:type="dxa"/>
            <w:shd w:val="clear" w:color="auto" w:fill="F2F2F2" w:themeFill="background1" w:themeFillShade="F2"/>
          </w:tcPr>
          <w:p w14:paraId="0B13A3A9" w14:textId="77777777" w:rsidR="00066C81" w:rsidRPr="00066C81" w:rsidRDefault="00066C81" w:rsidP="00066C81">
            <w:pPr>
              <w:rPr>
                <w:b/>
              </w:rPr>
            </w:pPr>
            <w:r w:rsidRPr="00066C81">
              <w:rPr>
                <w:b/>
              </w:rPr>
              <w:t>School/Department</w:t>
            </w:r>
          </w:p>
        </w:tc>
        <w:tc>
          <w:tcPr>
            <w:tcW w:w="5807" w:type="dxa"/>
          </w:tcPr>
          <w:p w14:paraId="0B7A4BF6" w14:textId="13E2BFE4" w:rsidR="00066C81" w:rsidRPr="00066C81" w:rsidRDefault="009B5A92" w:rsidP="00066C81">
            <w:r>
              <w:rPr>
                <w:rStyle w:val="normaltextrun"/>
                <w:rFonts w:ascii="Arial" w:hAnsi="Arial" w:cs="Arial"/>
                <w:shd w:val="clear" w:color="auto" w:fill="FFFFFF"/>
              </w:rPr>
              <w:t>School of Psychology and Vision Sciences</w:t>
            </w:r>
            <w:r>
              <w:rPr>
                <w:rStyle w:val="eop"/>
                <w:rFonts w:ascii="Arial" w:hAnsi="Arial" w:cs="Arial"/>
                <w:shd w:val="clear" w:color="auto" w:fill="FFFFFF"/>
              </w:rPr>
              <w:t> </w:t>
            </w:r>
          </w:p>
        </w:tc>
      </w:tr>
      <w:tr w:rsidR="003A7DAE" w:rsidRPr="00066C81" w14:paraId="566BAE34" w14:textId="77777777" w:rsidTr="00BA13A1">
        <w:tc>
          <w:tcPr>
            <w:tcW w:w="3227" w:type="dxa"/>
            <w:shd w:val="clear" w:color="auto" w:fill="F2F2F2" w:themeFill="background1" w:themeFillShade="F2"/>
          </w:tcPr>
          <w:p w14:paraId="1C05A3B9" w14:textId="77777777" w:rsidR="003A7DAE" w:rsidRPr="00066C81" w:rsidRDefault="003A7DAE" w:rsidP="00066C81">
            <w:pPr>
              <w:rPr>
                <w:b/>
              </w:rPr>
            </w:pPr>
            <w:r w:rsidRPr="00066C81">
              <w:rPr>
                <w:b/>
              </w:rPr>
              <w:t xml:space="preserve">Email </w:t>
            </w:r>
          </w:p>
        </w:tc>
        <w:tc>
          <w:tcPr>
            <w:tcW w:w="5807" w:type="dxa"/>
          </w:tcPr>
          <w:p w14:paraId="4AABD9CF" w14:textId="77777777" w:rsidR="003A7DAE" w:rsidRDefault="00270B7F" w:rsidP="00066C81">
            <w:pPr>
              <w:rPr>
                <w:rStyle w:val="normaltextrun"/>
                <w:rFonts w:ascii="Arial" w:hAnsi="Arial" w:cs="Arial"/>
                <w:shd w:val="clear" w:color="auto" w:fill="FFFFFF"/>
              </w:rPr>
            </w:pPr>
            <w:hyperlink r:id="rId5" w:tgtFrame="_blank" w:history="1">
              <w:r w:rsidR="009B5A92">
                <w:rPr>
                  <w:rStyle w:val="normaltextrun"/>
                  <w:rFonts w:ascii="Arial" w:hAnsi="Arial" w:cs="Arial"/>
                  <w:color w:val="0000FF"/>
                  <w:u w:val="single"/>
                  <w:shd w:val="clear" w:color="auto" w:fill="FFFFFF"/>
                </w:rPr>
                <w:t>mt350@le.ac.uk</w:t>
              </w:r>
            </w:hyperlink>
            <w:r w:rsidR="009B5A92">
              <w:rPr>
                <w:rStyle w:val="normaltextrun"/>
                <w:rFonts w:ascii="Arial" w:hAnsi="Arial" w:cs="Arial"/>
                <w:shd w:val="clear" w:color="auto" w:fill="FFFFFF"/>
              </w:rPr>
              <w:t> </w:t>
            </w:r>
          </w:p>
          <w:p w14:paraId="28BF855B" w14:textId="10FCB42A" w:rsidR="009B5A92" w:rsidRPr="00066C81" w:rsidRDefault="00270B7F" w:rsidP="00066C81">
            <w:hyperlink r:id="rId6" w:tgtFrame="_blank" w:history="1">
              <w:r w:rsidR="009B5A92">
                <w:rPr>
                  <w:rStyle w:val="normaltextrun"/>
                  <w:rFonts w:ascii="Arial" w:hAnsi="Arial" w:cs="Arial"/>
                  <w:color w:val="0000FF"/>
                  <w:u w:val="single"/>
                  <w:shd w:val="clear" w:color="auto" w:fill="FFFFFF"/>
                </w:rPr>
                <w:t>https://le.ac.uk/people/mervyn-thomas</w:t>
              </w:r>
            </w:hyperlink>
            <w:r w:rsidR="009B5A92">
              <w:rPr>
                <w:rStyle w:val="normaltextrun"/>
                <w:rFonts w:ascii="Arial" w:hAnsi="Arial" w:cs="Arial"/>
                <w:shd w:val="clear" w:color="auto" w:fill="FFFFFF"/>
              </w:rPr>
              <w:t> </w:t>
            </w:r>
          </w:p>
        </w:tc>
      </w:tr>
    </w:tbl>
    <w:p w14:paraId="7C06D8EE"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5A30D420" w14:textId="77777777" w:rsidTr="00066C81">
        <w:tc>
          <w:tcPr>
            <w:tcW w:w="3256" w:type="dxa"/>
            <w:shd w:val="clear" w:color="auto" w:fill="F2F2F2" w:themeFill="background1" w:themeFillShade="F2"/>
          </w:tcPr>
          <w:p w14:paraId="2DBD0CB6" w14:textId="77777777" w:rsidR="00066C81" w:rsidRPr="00B11D52" w:rsidRDefault="00066C81" w:rsidP="00ED69E6">
            <w:pPr>
              <w:rPr>
                <w:b/>
              </w:rPr>
            </w:pPr>
            <w:r>
              <w:rPr>
                <w:b/>
              </w:rPr>
              <w:t>Second Supervisor</w:t>
            </w:r>
          </w:p>
        </w:tc>
        <w:tc>
          <w:tcPr>
            <w:tcW w:w="5778" w:type="dxa"/>
          </w:tcPr>
          <w:p w14:paraId="489D6B79" w14:textId="226FFAAA" w:rsidR="00066C81" w:rsidRDefault="009B5A92" w:rsidP="00ED69E6">
            <w:r>
              <w:rPr>
                <w:rStyle w:val="normaltextrun"/>
                <w:rFonts w:ascii="Arial" w:hAnsi="Arial" w:cs="Arial"/>
                <w:shd w:val="clear" w:color="auto" w:fill="FFFFFF"/>
              </w:rPr>
              <w:t>Dr Will Norton / Dr Jonathan McDearmid</w:t>
            </w:r>
          </w:p>
        </w:tc>
      </w:tr>
      <w:tr w:rsidR="00066C81" w14:paraId="04ACFF8B" w14:textId="77777777" w:rsidTr="00066C81">
        <w:tc>
          <w:tcPr>
            <w:tcW w:w="3256" w:type="dxa"/>
            <w:shd w:val="clear" w:color="auto" w:fill="F2F2F2" w:themeFill="background1" w:themeFillShade="F2"/>
          </w:tcPr>
          <w:p w14:paraId="1E46C14B" w14:textId="77777777" w:rsidR="00066C81" w:rsidRDefault="00066C81" w:rsidP="00ED69E6">
            <w:pPr>
              <w:rPr>
                <w:b/>
              </w:rPr>
            </w:pPr>
            <w:r>
              <w:rPr>
                <w:b/>
              </w:rPr>
              <w:t>School/Department</w:t>
            </w:r>
          </w:p>
        </w:tc>
        <w:tc>
          <w:tcPr>
            <w:tcW w:w="5778" w:type="dxa"/>
          </w:tcPr>
          <w:p w14:paraId="1B7222C7" w14:textId="4811BDF2" w:rsidR="00066C81" w:rsidRDefault="009B5A92" w:rsidP="00ED69E6">
            <w:r>
              <w:rPr>
                <w:rStyle w:val="normaltextrun"/>
                <w:rFonts w:ascii="Arial" w:hAnsi="Arial" w:cs="Arial"/>
                <w:bdr w:val="none" w:sz="0" w:space="0" w:color="auto" w:frame="1"/>
              </w:rPr>
              <w:t>Genetics and Genome Biology</w:t>
            </w:r>
          </w:p>
        </w:tc>
      </w:tr>
      <w:tr w:rsidR="003A7DAE" w14:paraId="1A47049C" w14:textId="77777777" w:rsidTr="0029160A">
        <w:tc>
          <w:tcPr>
            <w:tcW w:w="3256" w:type="dxa"/>
            <w:shd w:val="clear" w:color="auto" w:fill="F2F2F2" w:themeFill="background1" w:themeFillShade="F2"/>
          </w:tcPr>
          <w:p w14:paraId="7BD42367" w14:textId="77777777" w:rsidR="003A7DAE" w:rsidRDefault="003A7DAE" w:rsidP="00ED69E6">
            <w:pPr>
              <w:rPr>
                <w:b/>
              </w:rPr>
            </w:pPr>
            <w:r>
              <w:rPr>
                <w:b/>
              </w:rPr>
              <w:t xml:space="preserve">Email </w:t>
            </w:r>
          </w:p>
        </w:tc>
        <w:tc>
          <w:tcPr>
            <w:tcW w:w="5778" w:type="dxa"/>
          </w:tcPr>
          <w:p w14:paraId="4D06D5DB" w14:textId="680DC2E3" w:rsidR="003A7DAE" w:rsidRDefault="00270B7F" w:rsidP="00ED69E6">
            <w:hyperlink r:id="rId7" w:tgtFrame="_blank" w:history="1">
              <w:r w:rsidR="009B5A92">
                <w:rPr>
                  <w:rStyle w:val="normaltextrun"/>
                  <w:rFonts w:ascii="Arial" w:hAnsi="Arial" w:cs="Arial"/>
                  <w:color w:val="0000FF"/>
                  <w:u w:val="single"/>
                  <w:shd w:val="clear" w:color="auto" w:fill="FFFFFF"/>
                </w:rPr>
                <w:t>whjn1@leicester.ac.uk</w:t>
              </w:r>
            </w:hyperlink>
            <w:r w:rsidR="009B5A92">
              <w:rPr>
                <w:rStyle w:val="normaltextrun"/>
                <w:rFonts w:ascii="Arial" w:hAnsi="Arial" w:cs="Arial"/>
                <w:shd w:val="clear" w:color="auto" w:fill="FFFFFF"/>
              </w:rPr>
              <w:t xml:space="preserve">  / </w:t>
            </w:r>
            <w:hyperlink r:id="rId8" w:tgtFrame="_blank" w:history="1">
              <w:r w:rsidR="009B5A92">
                <w:rPr>
                  <w:rStyle w:val="normaltextrun"/>
                  <w:rFonts w:ascii="Arial" w:hAnsi="Arial" w:cs="Arial"/>
                  <w:color w:val="0000FF"/>
                  <w:u w:val="single"/>
                  <w:shd w:val="clear" w:color="auto" w:fill="FFFFFF"/>
                </w:rPr>
                <w:t>jrm33@leicester.ac.uk</w:t>
              </w:r>
            </w:hyperlink>
            <w:r w:rsidR="009B5A92">
              <w:rPr>
                <w:rStyle w:val="normaltextrun"/>
                <w:rFonts w:ascii="Arial" w:hAnsi="Arial" w:cs="Arial"/>
                <w:shd w:val="clear" w:color="auto" w:fill="FFFFFF"/>
              </w:rPr>
              <w:t> </w:t>
            </w:r>
          </w:p>
        </w:tc>
      </w:tr>
    </w:tbl>
    <w:p w14:paraId="3188842D"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48BAF998" w14:textId="77777777" w:rsidTr="00066C81">
        <w:tc>
          <w:tcPr>
            <w:tcW w:w="3256" w:type="dxa"/>
            <w:shd w:val="clear" w:color="auto" w:fill="F2F2F2" w:themeFill="background1" w:themeFillShade="F2"/>
          </w:tcPr>
          <w:p w14:paraId="5D439254" w14:textId="77777777" w:rsidR="00066C81" w:rsidRPr="00B11D52" w:rsidRDefault="00066C81" w:rsidP="00ED69E6">
            <w:pPr>
              <w:rPr>
                <w:b/>
              </w:rPr>
            </w:pPr>
            <w:r>
              <w:rPr>
                <w:b/>
              </w:rPr>
              <w:t>Additional Supervisor</w:t>
            </w:r>
          </w:p>
        </w:tc>
        <w:tc>
          <w:tcPr>
            <w:tcW w:w="5778" w:type="dxa"/>
          </w:tcPr>
          <w:p w14:paraId="04519482" w14:textId="77777777" w:rsidR="00066C81" w:rsidRDefault="00066C81" w:rsidP="00ED69E6"/>
        </w:tc>
      </w:tr>
    </w:tbl>
    <w:p w14:paraId="4806292A" w14:textId="77777777" w:rsidR="00066C81" w:rsidRDefault="00066C81" w:rsidP="00066C81">
      <w:pPr>
        <w:spacing w:after="0" w:line="240" w:lineRule="auto"/>
        <w:rPr>
          <w:b/>
          <w:u w:val="single"/>
        </w:rPr>
      </w:pPr>
    </w:p>
    <w:p w14:paraId="2F660E25" w14:textId="77777777" w:rsidR="00066C81" w:rsidRPr="006B05B2" w:rsidRDefault="00066C81" w:rsidP="00066C8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7036"/>
      </w:tblGrid>
      <w:tr w:rsidR="00066C81" w14:paraId="6E42E9E7" w14:textId="77777777" w:rsidTr="00ED69E6">
        <w:tc>
          <w:tcPr>
            <w:tcW w:w="1980" w:type="dxa"/>
            <w:shd w:val="clear" w:color="auto" w:fill="F2F2F2" w:themeFill="background1" w:themeFillShade="F2"/>
          </w:tcPr>
          <w:p w14:paraId="79396BC4" w14:textId="77777777" w:rsidR="00066C81" w:rsidRDefault="00066C81" w:rsidP="00ED69E6">
            <w:pPr>
              <w:rPr>
                <w:b/>
              </w:rPr>
            </w:pPr>
            <w:r>
              <w:rPr>
                <w:b/>
              </w:rPr>
              <w:t>Project Title</w:t>
            </w:r>
          </w:p>
          <w:p w14:paraId="2AE8459A" w14:textId="77777777" w:rsidR="00066C81" w:rsidRPr="00B11D52" w:rsidRDefault="00066C81" w:rsidP="00ED69E6">
            <w:pPr>
              <w:rPr>
                <w:b/>
              </w:rPr>
            </w:pPr>
          </w:p>
        </w:tc>
        <w:tc>
          <w:tcPr>
            <w:tcW w:w="7036" w:type="dxa"/>
          </w:tcPr>
          <w:p w14:paraId="2BC2E11D" w14:textId="3B2B05C9" w:rsidR="00066C81" w:rsidRDefault="009B5A92" w:rsidP="00ED69E6">
            <w:r>
              <w:rPr>
                <w:rStyle w:val="normaltextrun"/>
                <w:rFonts w:ascii="Arial" w:hAnsi="Arial" w:cs="Arial"/>
                <w:shd w:val="clear" w:color="auto" w:fill="FFFFFF"/>
              </w:rPr>
              <w:t>Understanding the role of pigmentation in retinal and vision development</w:t>
            </w:r>
            <w:r>
              <w:rPr>
                <w:rStyle w:val="eop"/>
                <w:rFonts w:ascii="Arial" w:hAnsi="Arial" w:cs="Arial"/>
                <w:shd w:val="clear" w:color="auto" w:fill="FFFFFF"/>
              </w:rPr>
              <w:t> </w:t>
            </w:r>
          </w:p>
        </w:tc>
      </w:tr>
      <w:tr w:rsidR="00066C81" w14:paraId="4C9CB2BA" w14:textId="77777777" w:rsidTr="00ED69E6">
        <w:tc>
          <w:tcPr>
            <w:tcW w:w="9016" w:type="dxa"/>
            <w:gridSpan w:val="2"/>
            <w:shd w:val="clear" w:color="auto" w:fill="F2F2F2" w:themeFill="background1" w:themeFillShade="F2"/>
          </w:tcPr>
          <w:p w14:paraId="3D17942F" w14:textId="77777777" w:rsidR="00066C81" w:rsidRDefault="00066C81" w:rsidP="00066C81">
            <w:r w:rsidRPr="003A7DAE">
              <w:rPr>
                <w:b/>
                <w:highlight w:val="lightGray"/>
              </w:rPr>
              <w:t>Project Summary</w:t>
            </w:r>
            <w:r>
              <w:rPr>
                <w:b/>
              </w:rPr>
              <w:t xml:space="preserve"> </w:t>
            </w:r>
          </w:p>
        </w:tc>
      </w:tr>
      <w:tr w:rsidR="00066C81" w14:paraId="51FA071A" w14:textId="77777777" w:rsidTr="00ED69E6">
        <w:tc>
          <w:tcPr>
            <w:tcW w:w="9016" w:type="dxa"/>
            <w:gridSpan w:val="2"/>
          </w:tcPr>
          <w:p w14:paraId="35F8648C" w14:textId="77777777" w:rsidR="009B5A92" w:rsidRDefault="009B5A92" w:rsidP="009B5A9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u w:val="single"/>
              </w:rPr>
              <w:t>Establishing structure-function correlations in vision development </w:t>
            </w:r>
            <w:r>
              <w:rPr>
                <w:rStyle w:val="eop"/>
                <w:rFonts w:ascii="Arial" w:hAnsi="Arial" w:cs="Arial"/>
                <w:sz w:val="22"/>
                <w:szCs w:val="22"/>
              </w:rPr>
              <w:t> </w:t>
            </w:r>
          </w:p>
          <w:p w14:paraId="1536307E" w14:textId="77777777" w:rsidR="009B5A92" w:rsidRDefault="009B5A92" w:rsidP="009B5A9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aim of this project is to develop methods to study the relationship between pigmentation and vision development in humans and zebrafish. </w:t>
            </w:r>
            <w:r>
              <w:rPr>
                <w:rStyle w:val="eop"/>
                <w:rFonts w:ascii="Arial" w:hAnsi="Arial" w:cs="Arial"/>
                <w:sz w:val="22"/>
                <w:szCs w:val="22"/>
              </w:rPr>
              <w:t> </w:t>
            </w:r>
          </w:p>
          <w:p w14:paraId="5AEF1F3F" w14:textId="77777777" w:rsidR="009B5A92" w:rsidRDefault="009B5A92" w:rsidP="009B5A9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Recently, in a multicentre collaboration (12 centres across 9 countries), we have shown the global burden of arrested retinal development and its impact on visual acuity.</w:t>
            </w:r>
            <w:r>
              <w:rPr>
                <w:rStyle w:val="normaltextrun"/>
                <w:rFonts w:ascii="Arial" w:hAnsi="Arial" w:cs="Arial"/>
                <w:sz w:val="17"/>
                <w:szCs w:val="17"/>
                <w:vertAlign w:val="superscript"/>
              </w:rPr>
              <w:t>1</w:t>
            </w:r>
            <w:r>
              <w:rPr>
                <w:rStyle w:val="normaltextrun"/>
                <w:rFonts w:ascii="Arial" w:hAnsi="Arial" w:cs="Arial"/>
                <w:sz w:val="22"/>
                <w:szCs w:val="22"/>
              </w:rPr>
              <w:t xml:space="preserve"> Many genes implicated are those involved in the melanin biosynthesis pathway. </w:t>
            </w:r>
            <w:proofErr w:type="gramStart"/>
            <w:r>
              <w:rPr>
                <w:rStyle w:val="normaltextrun"/>
                <w:rFonts w:ascii="Arial" w:hAnsi="Arial" w:cs="Arial"/>
                <w:sz w:val="22"/>
                <w:szCs w:val="22"/>
              </w:rPr>
              <w:t>Thus</w:t>
            </w:r>
            <w:proofErr w:type="gramEnd"/>
            <w:r>
              <w:rPr>
                <w:rStyle w:val="normaltextrun"/>
                <w:rFonts w:ascii="Arial" w:hAnsi="Arial" w:cs="Arial"/>
                <w:sz w:val="22"/>
                <w:szCs w:val="22"/>
              </w:rPr>
              <w:t xml:space="preserve"> understanding how melanin and pigmentation influences normal retinal development is important and has implications across the fields of neuroscience, genetics, developmental biology and clinical medicine. </w:t>
            </w:r>
            <w:r>
              <w:rPr>
                <w:rStyle w:val="eop"/>
                <w:rFonts w:ascii="Arial" w:hAnsi="Arial" w:cs="Arial"/>
                <w:sz w:val="22"/>
                <w:szCs w:val="22"/>
              </w:rPr>
              <w:t> </w:t>
            </w:r>
          </w:p>
          <w:p w14:paraId="228EAD0C" w14:textId="77777777" w:rsidR="009B5A92" w:rsidRDefault="009B5A92" w:rsidP="009B5A9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Retinal development is a dynamic process that begins </w:t>
            </w:r>
            <w:r>
              <w:rPr>
                <w:rStyle w:val="normaltextrun"/>
                <w:rFonts w:ascii="Arial" w:hAnsi="Arial" w:cs="Arial"/>
                <w:i/>
                <w:iCs/>
                <w:sz w:val="22"/>
                <w:szCs w:val="22"/>
              </w:rPr>
              <w:t>in utero</w:t>
            </w:r>
            <w:r>
              <w:rPr>
                <w:rStyle w:val="normaltextrun"/>
                <w:rFonts w:ascii="Arial" w:hAnsi="Arial" w:cs="Arial"/>
                <w:sz w:val="22"/>
                <w:szCs w:val="22"/>
              </w:rPr>
              <w:t xml:space="preserve"> and continues postnatally up to the age of 13 years. Within the retina, a highly specialised structure called the fovea is responsible for our fine visual acuity (VA). The development of the fovea is characterised by three developmental events namely centrifugal displacement of the inner retinal layers, centripetal migration of cone photoreceptors and cone photoreceptor specialisation.</w:t>
            </w:r>
            <w:r>
              <w:rPr>
                <w:rStyle w:val="normaltextrun"/>
                <w:rFonts w:ascii="Arial" w:hAnsi="Arial" w:cs="Arial"/>
                <w:sz w:val="17"/>
                <w:szCs w:val="17"/>
                <w:vertAlign w:val="superscript"/>
              </w:rPr>
              <w:t xml:space="preserve">2 </w:t>
            </w:r>
            <w:r>
              <w:rPr>
                <w:rStyle w:val="normaltextrun"/>
                <w:rFonts w:ascii="Arial" w:hAnsi="Arial" w:cs="Arial"/>
                <w:sz w:val="22"/>
                <w:szCs w:val="22"/>
              </w:rPr>
              <w:t>This ensures that there is tight cone packing and the cone mosaic responsible for 6/6 or 20/20 vision. Zebrafish are the best choice of model organism to study vision development due to multiple factors. Zebrafish retinal anatomy, development and physiological characteristics are similar to humans. By 72 hours post-fertilisation (</w:t>
            </w:r>
            <w:proofErr w:type="spellStart"/>
            <w:r>
              <w:rPr>
                <w:rStyle w:val="normaltextrun"/>
                <w:rFonts w:ascii="Arial" w:hAnsi="Arial" w:cs="Arial"/>
                <w:sz w:val="22"/>
                <w:szCs w:val="22"/>
              </w:rPr>
              <w:t>hpf</w:t>
            </w:r>
            <w:proofErr w:type="spellEnd"/>
            <w:r>
              <w:rPr>
                <w:rStyle w:val="normaltextrun"/>
                <w:rFonts w:ascii="Arial" w:hAnsi="Arial" w:cs="Arial"/>
                <w:sz w:val="22"/>
                <w:szCs w:val="22"/>
              </w:rPr>
              <w:t>) retinal morphology and function is robust like adults and testable using visual behaviour assays. Moreover, the retinal structure has an area of specialisation (area temporalis),</w:t>
            </w:r>
            <w:r>
              <w:rPr>
                <w:rStyle w:val="normaltextrun"/>
                <w:rFonts w:ascii="Arial" w:hAnsi="Arial" w:cs="Arial"/>
                <w:sz w:val="17"/>
                <w:szCs w:val="17"/>
                <w:vertAlign w:val="superscript"/>
              </w:rPr>
              <w:t>3</w:t>
            </w:r>
            <w:r>
              <w:rPr>
                <w:rStyle w:val="normaltextrun"/>
                <w:rFonts w:ascii="Arial" w:hAnsi="Arial" w:cs="Arial"/>
                <w:sz w:val="22"/>
                <w:szCs w:val="22"/>
              </w:rPr>
              <w:t xml:space="preserve"> which is cone rich and with cone density close to human fovea. Using an optokinetic assay and altering the spatial frequency of sinusoidal gratings (stimuli) we can derive visual acuity. Similarly using electrophysiological </w:t>
            </w:r>
            <w:proofErr w:type="gramStart"/>
            <w:r>
              <w:rPr>
                <w:rStyle w:val="normaltextrun"/>
                <w:rFonts w:ascii="Arial" w:hAnsi="Arial" w:cs="Arial"/>
                <w:sz w:val="22"/>
                <w:szCs w:val="22"/>
              </w:rPr>
              <w:t>techniques</w:t>
            </w:r>
            <w:proofErr w:type="gramEnd"/>
            <w:r>
              <w:rPr>
                <w:rStyle w:val="normaltextrun"/>
                <w:rFonts w:ascii="Arial" w:hAnsi="Arial" w:cs="Arial"/>
                <w:sz w:val="22"/>
                <w:szCs w:val="22"/>
              </w:rPr>
              <w:t xml:space="preserve"> we can establish functional characteristics of the retinal cells and their role in vision. A team of interdisciplinary researchers based at the </w:t>
            </w:r>
            <w:proofErr w:type="spellStart"/>
            <w:r>
              <w:rPr>
                <w:rStyle w:val="normaltextrun"/>
                <w:rFonts w:ascii="Arial" w:hAnsi="Arial" w:cs="Arial"/>
                <w:sz w:val="22"/>
                <w:szCs w:val="22"/>
              </w:rPr>
              <w:t>Ulverscroft</w:t>
            </w:r>
            <w:proofErr w:type="spellEnd"/>
            <w:r>
              <w:rPr>
                <w:rStyle w:val="normaltextrun"/>
                <w:rFonts w:ascii="Arial" w:hAnsi="Arial" w:cs="Arial"/>
                <w:sz w:val="22"/>
                <w:szCs w:val="22"/>
              </w:rPr>
              <w:t xml:space="preserve"> Eye Unit (UEU) and Department of Genetics will support the student. The UEU currently has 15 researchers, which includes senior research fellows, post-docs, PhD and masters’ students in addition to tenured academic staff members. </w:t>
            </w:r>
            <w:r>
              <w:rPr>
                <w:rStyle w:val="eop"/>
                <w:rFonts w:ascii="Arial" w:hAnsi="Arial" w:cs="Arial"/>
                <w:sz w:val="22"/>
                <w:szCs w:val="22"/>
              </w:rPr>
              <w:t> </w:t>
            </w:r>
          </w:p>
          <w:p w14:paraId="5691742F" w14:textId="77777777" w:rsidR="009B5A92" w:rsidRDefault="009B5A92" w:rsidP="009B5A9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In this project, we will use CRISPR-Cas9 based techniques to modify genes involved in the melanin biosynthesis pathway and correlate this to retinal structure, and function in zebrafish. In Leicester, we have access to a large cohort of healthy individuals with genotype and linked health data (n=10,000) that can be interrogated to identify subpopulations with specific genotypes of interest. By recruiting and performing high-resolution retinal scans, we will correlate genotype to structure and function. This targeted approach will provide a fundamental understanding on the mechanisms of normal vision development and normal variations to structure and function. </w:t>
            </w:r>
            <w:r>
              <w:rPr>
                <w:rStyle w:val="eop"/>
                <w:rFonts w:ascii="Arial" w:hAnsi="Arial" w:cs="Arial"/>
                <w:sz w:val="22"/>
                <w:szCs w:val="22"/>
              </w:rPr>
              <w:t> </w:t>
            </w:r>
          </w:p>
          <w:p w14:paraId="25230C36" w14:textId="77777777" w:rsidR="009B5A92" w:rsidRDefault="009B5A92" w:rsidP="009B5A9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lastRenderedPageBreak/>
              <w:t>This project will provide methodology development and training in the following areas: 1) visual behaviour assays in zebrafish, 2) CRISPR-Cas9 techniques, 3) single-cell electrophysiology assays, 4) interrogation of large datasets and 5) retinal phenotyping in humans. Based on the student’s interest we can tailor the project and techniques to be lab or human phenotyping focussed. </w:t>
            </w:r>
            <w:r>
              <w:rPr>
                <w:rStyle w:val="eop"/>
                <w:rFonts w:ascii="Arial" w:hAnsi="Arial" w:cs="Arial"/>
                <w:sz w:val="22"/>
                <w:szCs w:val="22"/>
              </w:rPr>
              <w:t> </w:t>
            </w:r>
          </w:p>
          <w:p w14:paraId="328179BD" w14:textId="77777777" w:rsidR="00066C81" w:rsidRDefault="00066C81" w:rsidP="00ED69E6">
            <w:pPr>
              <w:rPr>
                <w:b/>
              </w:rPr>
            </w:pPr>
          </w:p>
          <w:p w14:paraId="2C281E47" w14:textId="4899F39E" w:rsidR="00066C81" w:rsidRDefault="009646E4" w:rsidP="00ED69E6">
            <w:pPr>
              <w:rPr>
                <w:b/>
              </w:rPr>
            </w:pPr>
            <w:r>
              <w:rPr>
                <w:rStyle w:val="normaltextrun"/>
                <w:rFonts w:ascii="Arial" w:hAnsi="Arial" w:cs="Arial"/>
                <w:shd w:val="clear" w:color="auto" w:fill="FFFFFF"/>
              </w:rPr>
              <w:t>T</w:t>
            </w:r>
            <w:r w:rsidR="009B5A92">
              <w:rPr>
                <w:rStyle w:val="normaltextrun"/>
                <w:rFonts w:ascii="Arial" w:hAnsi="Arial" w:cs="Arial"/>
                <w:shd w:val="clear" w:color="auto" w:fill="FFFFFF"/>
              </w:rPr>
              <w:t>echniques that will be undertaken during the project</w:t>
            </w:r>
          </w:p>
          <w:p w14:paraId="4BDB4F48" w14:textId="77777777" w:rsidR="009B5A92" w:rsidRDefault="009B5A92" w:rsidP="009B5A9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student will gain a deep understanding and experience in a range of lab based and human phenotyping techniques. Dependent on student preference the project can be tailored to be more lab or human phenotyping focussed. Molecular biology techniques such as CRISPR-Cas9 approaches to genetic engineering and gene expression studies (qPCR, in situ). As part of the CRISPR-Cas tools used they will get comprehensive training in analysing databases and identifying targets and appropriate guides. Performing microinjection and zebrafish husbandry. They will also acquire skills in carrying out visual behavioural assays and histological characterisation. The student will utilise the electron microscopy facility (including TEM and SEM) to characterise retinal structure and its relationship to function (behaviour and electrophysiology). The McDearmid lab will provide electrophysiology training with access to latest equipment for single cell recordings. </w:t>
            </w:r>
            <w:r>
              <w:rPr>
                <w:rStyle w:val="eop"/>
                <w:rFonts w:ascii="Arial" w:hAnsi="Arial" w:cs="Arial"/>
                <w:sz w:val="22"/>
                <w:szCs w:val="22"/>
              </w:rPr>
              <w:t> </w:t>
            </w:r>
          </w:p>
          <w:p w14:paraId="377D58CB" w14:textId="77777777" w:rsidR="009B5A92" w:rsidRDefault="009B5A92" w:rsidP="009B5A9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For the human studies, they will have training in analysing large datasets to identify genes and populations of interest. The student will also get training in retinal phenotyping techniques such as optical coherence tomography. We will provide extensive training in analytical techniques for both image and video-based techniques to derive meaningful data for subsequent statistical analysis.</w:t>
            </w:r>
          </w:p>
          <w:p w14:paraId="258DFB55" w14:textId="77777777" w:rsidR="00066C81" w:rsidRDefault="00066C81" w:rsidP="00ED69E6">
            <w:pPr>
              <w:rPr>
                <w:b/>
              </w:rPr>
            </w:pPr>
          </w:p>
          <w:p w14:paraId="52EFBB87" w14:textId="77777777" w:rsidR="00066C81" w:rsidRDefault="00066C81" w:rsidP="00ED69E6">
            <w:pPr>
              <w:rPr>
                <w:b/>
              </w:rPr>
            </w:pPr>
          </w:p>
        </w:tc>
      </w:tr>
      <w:tr w:rsidR="003A7DAE" w14:paraId="703CFC4C" w14:textId="77777777" w:rsidTr="001C1AF7">
        <w:tc>
          <w:tcPr>
            <w:tcW w:w="9016" w:type="dxa"/>
            <w:gridSpan w:val="2"/>
            <w:shd w:val="clear" w:color="auto" w:fill="F2F2F2" w:themeFill="background1" w:themeFillShade="F2"/>
          </w:tcPr>
          <w:p w14:paraId="40B4B97E" w14:textId="39FA6C4F" w:rsidR="003A7DAE" w:rsidRDefault="003A7DAE" w:rsidP="001C1AF7">
            <w:r>
              <w:rPr>
                <w:b/>
              </w:rPr>
              <w:lastRenderedPageBreak/>
              <w:t>References</w:t>
            </w:r>
          </w:p>
        </w:tc>
      </w:tr>
      <w:tr w:rsidR="003A7DAE" w14:paraId="6D3114C6" w14:textId="77777777" w:rsidTr="00ED69E6">
        <w:tc>
          <w:tcPr>
            <w:tcW w:w="9016" w:type="dxa"/>
            <w:gridSpan w:val="2"/>
          </w:tcPr>
          <w:p w14:paraId="6CD00A47" w14:textId="77777777" w:rsidR="009B5A92" w:rsidRDefault="009B5A92" w:rsidP="009B5A92">
            <w:pPr>
              <w:pStyle w:val="paragraph"/>
              <w:numPr>
                <w:ilvl w:val="0"/>
                <w:numId w:val="1"/>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 xml:space="preserve">Kuht HJ et al. Genotypic and Phenotypic Spectrum of Foveal Hypoplasia: A </w:t>
            </w:r>
            <w:proofErr w:type="spellStart"/>
            <w:r>
              <w:rPr>
                <w:rStyle w:val="normaltextrun"/>
                <w:rFonts w:ascii="Arial" w:hAnsi="Arial" w:cs="Arial"/>
                <w:sz w:val="18"/>
                <w:szCs w:val="18"/>
              </w:rPr>
              <w:t>Multicenter</w:t>
            </w:r>
            <w:proofErr w:type="spellEnd"/>
            <w:r>
              <w:rPr>
                <w:rStyle w:val="normaltextrun"/>
                <w:rFonts w:ascii="Arial" w:hAnsi="Arial" w:cs="Arial"/>
                <w:sz w:val="18"/>
                <w:szCs w:val="18"/>
              </w:rPr>
              <w:t xml:space="preserve"> Study. Ophthalmology. 2022 Jun;129(6):708-718.</w:t>
            </w:r>
            <w:r>
              <w:rPr>
                <w:rStyle w:val="eop"/>
                <w:rFonts w:ascii="Arial" w:hAnsi="Arial" w:cs="Arial"/>
                <w:sz w:val="18"/>
                <w:szCs w:val="18"/>
              </w:rPr>
              <w:t> </w:t>
            </w:r>
          </w:p>
          <w:p w14:paraId="04274241" w14:textId="77777777" w:rsidR="009B5A92" w:rsidRDefault="009B5A92" w:rsidP="009B5A92">
            <w:pPr>
              <w:pStyle w:val="paragraph"/>
              <w:numPr>
                <w:ilvl w:val="0"/>
                <w:numId w:val="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18"/>
                <w:szCs w:val="18"/>
              </w:rPr>
              <w:t xml:space="preserve">Thomas MG et al. Normal and abnormal foveal development. Br J </w:t>
            </w:r>
            <w:proofErr w:type="spellStart"/>
            <w:r>
              <w:rPr>
                <w:rStyle w:val="normaltextrun"/>
                <w:rFonts w:ascii="Arial" w:hAnsi="Arial" w:cs="Arial"/>
                <w:sz w:val="18"/>
                <w:szCs w:val="18"/>
              </w:rPr>
              <w:t>Ophthalmol</w:t>
            </w:r>
            <w:proofErr w:type="spellEnd"/>
            <w:r>
              <w:rPr>
                <w:rStyle w:val="normaltextrun"/>
                <w:rFonts w:ascii="Arial" w:hAnsi="Arial" w:cs="Arial"/>
                <w:sz w:val="18"/>
                <w:szCs w:val="18"/>
              </w:rPr>
              <w:t xml:space="preserve">. 2020 Nov </w:t>
            </w:r>
            <w:proofErr w:type="gramStart"/>
            <w:r>
              <w:rPr>
                <w:rStyle w:val="normaltextrun"/>
                <w:rFonts w:ascii="Arial" w:hAnsi="Arial" w:cs="Arial"/>
                <w:sz w:val="18"/>
                <w:szCs w:val="18"/>
              </w:rPr>
              <w:t>4:bjophthalmol</w:t>
            </w:r>
            <w:proofErr w:type="gramEnd"/>
            <w:r>
              <w:rPr>
                <w:rStyle w:val="normaltextrun"/>
                <w:rFonts w:ascii="Arial" w:hAnsi="Arial" w:cs="Arial"/>
                <w:sz w:val="18"/>
                <w:szCs w:val="18"/>
              </w:rPr>
              <w:t>-2020-316348.</w:t>
            </w:r>
            <w:r>
              <w:rPr>
                <w:rStyle w:val="eop"/>
                <w:rFonts w:ascii="Arial" w:hAnsi="Arial" w:cs="Arial"/>
                <w:sz w:val="18"/>
                <w:szCs w:val="18"/>
              </w:rPr>
              <w:t> </w:t>
            </w:r>
          </w:p>
          <w:p w14:paraId="71255FD9" w14:textId="77777777" w:rsidR="009B5A92" w:rsidRDefault="009B5A92" w:rsidP="009B5A92">
            <w:pPr>
              <w:pStyle w:val="paragraph"/>
              <w:numPr>
                <w:ilvl w:val="0"/>
                <w:numId w:val="3"/>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18"/>
                <w:szCs w:val="18"/>
              </w:rPr>
              <w:t xml:space="preserve">Yoshimatsu T, et al. Fovea-like Photoreceptor Specializations Underlie Single </w:t>
            </w:r>
          </w:p>
          <w:p w14:paraId="7D2CFDBB" w14:textId="77777777" w:rsidR="003A7DAE" w:rsidRDefault="003A7DAE" w:rsidP="00ED69E6">
            <w:pPr>
              <w:rPr>
                <w:b/>
              </w:rPr>
            </w:pPr>
          </w:p>
          <w:p w14:paraId="4CC99A4B" w14:textId="55A384DD" w:rsidR="003A7DAE" w:rsidRDefault="003A7DAE" w:rsidP="00ED69E6">
            <w:pPr>
              <w:rPr>
                <w:b/>
              </w:rPr>
            </w:pPr>
          </w:p>
        </w:tc>
      </w:tr>
    </w:tbl>
    <w:p w14:paraId="44A8724E" w14:textId="6AADEB6C" w:rsidR="00BD5F21" w:rsidRDefault="00BD5F21"/>
    <w:p w14:paraId="45068FA8" w14:textId="77777777" w:rsidR="00270B7F" w:rsidRDefault="00270B7F" w:rsidP="00270B7F">
      <w:pPr>
        <w:rPr>
          <w:b/>
          <w:bCs/>
          <w:sz w:val="24"/>
          <w:szCs w:val="24"/>
        </w:rPr>
      </w:pPr>
      <w:r w:rsidRPr="000B2D91">
        <w:rPr>
          <w:b/>
          <w:bCs/>
          <w:sz w:val="24"/>
          <w:szCs w:val="24"/>
        </w:rPr>
        <w:t xml:space="preserve">To apply </w:t>
      </w:r>
      <w:r>
        <w:rPr>
          <w:b/>
          <w:bCs/>
          <w:sz w:val="24"/>
          <w:szCs w:val="24"/>
        </w:rPr>
        <w:t>p</w:t>
      </w:r>
      <w:r w:rsidRPr="000B2D91">
        <w:rPr>
          <w:b/>
          <w:bCs/>
          <w:sz w:val="24"/>
          <w:szCs w:val="24"/>
        </w:rPr>
        <w:t xml:space="preserve">lease refer to </w:t>
      </w:r>
    </w:p>
    <w:p w14:paraId="27C1F946" w14:textId="77777777" w:rsidR="00270B7F" w:rsidRPr="000B2D91" w:rsidRDefault="00270B7F" w:rsidP="00270B7F">
      <w:pPr>
        <w:rPr>
          <w:b/>
          <w:bCs/>
          <w:sz w:val="24"/>
          <w:szCs w:val="24"/>
        </w:rPr>
      </w:pPr>
      <w:hyperlink r:id="rId9" w:history="1">
        <w:r w:rsidRPr="00F978B2">
          <w:rPr>
            <w:rStyle w:val="Hyperlink"/>
            <w:b/>
            <w:bCs/>
            <w:sz w:val="24"/>
            <w:szCs w:val="24"/>
          </w:rPr>
          <w:t>https://le.ac.uk/study/research-degrees/funded-opportunities/bbsrc-mibtp</w:t>
        </w:r>
      </w:hyperlink>
    </w:p>
    <w:p w14:paraId="2D2D7C4E" w14:textId="77777777" w:rsidR="00270B7F" w:rsidRDefault="00270B7F"/>
    <w:sectPr w:rsidR="00270B7F"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13BB"/>
    <w:multiLevelType w:val="multilevel"/>
    <w:tmpl w:val="30104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C27602"/>
    <w:multiLevelType w:val="multilevel"/>
    <w:tmpl w:val="F4FAC1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E75F6F"/>
    <w:multiLevelType w:val="multilevel"/>
    <w:tmpl w:val="D518A7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81"/>
    <w:rsid w:val="00066C81"/>
    <w:rsid w:val="000D3D42"/>
    <w:rsid w:val="00270B7F"/>
    <w:rsid w:val="003A7DAE"/>
    <w:rsid w:val="004D0232"/>
    <w:rsid w:val="009646E4"/>
    <w:rsid w:val="009B5A92"/>
    <w:rsid w:val="00BB70D0"/>
    <w:rsid w:val="00BD5F21"/>
    <w:rsid w:val="00D46A34"/>
    <w:rsid w:val="00DF7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C236"/>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B5A92"/>
  </w:style>
  <w:style w:type="character" w:customStyle="1" w:styleId="eop">
    <w:name w:val="eop"/>
    <w:basedOn w:val="DefaultParagraphFont"/>
    <w:rsid w:val="009B5A92"/>
  </w:style>
  <w:style w:type="paragraph" w:customStyle="1" w:styleId="paragraph">
    <w:name w:val="paragraph"/>
    <w:basedOn w:val="Normal"/>
    <w:rsid w:val="009B5A9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270B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61071">
      <w:bodyDiv w:val="1"/>
      <w:marLeft w:val="0"/>
      <w:marRight w:val="0"/>
      <w:marTop w:val="0"/>
      <w:marBottom w:val="0"/>
      <w:divBdr>
        <w:top w:val="none" w:sz="0" w:space="0" w:color="auto"/>
        <w:left w:val="none" w:sz="0" w:space="0" w:color="auto"/>
        <w:bottom w:val="none" w:sz="0" w:space="0" w:color="auto"/>
        <w:right w:val="none" w:sz="0" w:space="0" w:color="auto"/>
      </w:divBdr>
      <w:divsChild>
        <w:div w:id="561403197">
          <w:marLeft w:val="0"/>
          <w:marRight w:val="0"/>
          <w:marTop w:val="0"/>
          <w:marBottom w:val="0"/>
          <w:divBdr>
            <w:top w:val="none" w:sz="0" w:space="0" w:color="auto"/>
            <w:left w:val="none" w:sz="0" w:space="0" w:color="auto"/>
            <w:bottom w:val="none" w:sz="0" w:space="0" w:color="auto"/>
            <w:right w:val="none" w:sz="0" w:space="0" w:color="auto"/>
          </w:divBdr>
        </w:div>
        <w:div w:id="457069748">
          <w:marLeft w:val="0"/>
          <w:marRight w:val="0"/>
          <w:marTop w:val="0"/>
          <w:marBottom w:val="0"/>
          <w:divBdr>
            <w:top w:val="none" w:sz="0" w:space="0" w:color="auto"/>
            <w:left w:val="none" w:sz="0" w:space="0" w:color="auto"/>
            <w:bottom w:val="none" w:sz="0" w:space="0" w:color="auto"/>
            <w:right w:val="none" w:sz="0" w:space="0" w:color="auto"/>
          </w:divBdr>
        </w:div>
      </w:divsChild>
    </w:div>
    <w:div w:id="342050793">
      <w:bodyDiv w:val="1"/>
      <w:marLeft w:val="0"/>
      <w:marRight w:val="0"/>
      <w:marTop w:val="0"/>
      <w:marBottom w:val="0"/>
      <w:divBdr>
        <w:top w:val="none" w:sz="0" w:space="0" w:color="auto"/>
        <w:left w:val="none" w:sz="0" w:space="0" w:color="auto"/>
        <w:bottom w:val="none" w:sz="0" w:space="0" w:color="auto"/>
        <w:right w:val="none" w:sz="0" w:space="0" w:color="auto"/>
      </w:divBdr>
      <w:divsChild>
        <w:div w:id="1712924156">
          <w:marLeft w:val="0"/>
          <w:marRight w:val="0"/>
          <w:marTop w:val="0"/>
          <w:marBottom w:val="0"/>
          <w:divBdr>
            <w:top w:val="none" w:sz="0" w:space="0" w:color="auto"/>
            <w:left w:val="none" w:sz="0" w:space="0" w:color="auto"/>
            <w:bottom w:val="none" w:sz="0" w:space="0" w:color="auto"/>
            <w:right w:val="none" w:sz="0" w:space="0" w:color="auto"/>
          </w:divBdr>
        </w:div>
        <w:div w:id="1047489940">
          <w:marLeft w:val="0"/>
          <w:marRight w:val="0"/>
          <w:marTop w:val="0"/>
          <w:marBottom w:val="0"/>
          <w:divBdr>
            <w:top w:val="none" w:sz="0" w:space="0" w:color="auto"/>
            <w:left w:val="none" w:sz="0" w:space="0" w:color="auto"/>
            <w:bottom w:val="none" w:sz="0" w:space="0" w:color="auto"/>
            <w:right w:val="none" w:sz="0" w:space="0" w:color="auto"/>
          </w:divBdr>
        </w:div>
        <w:div w:id="1633049633">
          <w:marLeft w:val="0"/>
          <w:marRight w:val="0"/>
          <w:marTop w:val="0"/>
          <w:marBottom w:val="0"/>
          <w:divBdr>
            <w:top w:val="none" w:sz="0" w:space="0" w:color="auto"/>
            <w:left w:val="none" w:sz="0" w:space="0" w:color="auto"/>
            <w:bottom w:val="none" w:sz="0" w:space="0" w:color="auto"/>
            <w:right w:val="none" w:sz="0" w:space="0" w:color="auto"/>
          </w:divBdr>
        </w:div>
        <w:div w:id="162014710">
          <w:marLeft w:val="0"/>
          <w:marRight w:val="0"/>
          <w:marTop w:val="0"/>
          <w:marBottom w:val="0"/>
          <w:divBdr>
            <w:top w:val="none" w:sz="0" w:space="0" w:color="auto"/>
            <w:left w:val="none" w:sz="0" w:space="0" w:color="auto"/>
            <w:bottom w:val="none" w:sz="0" w:space="0" w:color="auto"/>
            <w:right w:val="none" w:sz="0" w:space="0" w:color="auto"/>
          </w:divBdr>
        </w:div>
        <w:div w:id="1919440892">
          <w:marLeft w:val="0"/>
          <w:marRight w:val="0"/>
          <w:marTop w:val="0"/>
          <w:marBottom w:val="0"/>
          <w:divBdr>
            <w:top w:val="none" w:sz="0" w:space="0" w:color="auto"/>
            <w:left w:val="none" w:sz="0" w:space="0" w:color="auto"/>
            <w:bottom w:val="none" w:sz="0" w:space="0" w:color="auto"/>
            <w:right w:val="none" w:sz="0" w:space="0" w:color="auto"/>
          </w:divBdr>
        </w:div>
        <w:div w:id="35012289">
          <w:marLeft w:val="0"/>
          <w:marRight w:val="0"/>
          <w:marTop w:val="0"/>
          <w:marBottom w:val="0"/>
          <w:divBdr>
            <w:top w:val="none" w:sz="0" w:space="0" w:color="auto"/>
            <w:left w:val="none" w:sz="0" w:space="0" w:color="auto"/>
            <w:bottom w:val="none" w:sz="0" w:space="0" w:color="auto"/>
            <w:right w:val="none" w:sz="0" w:space="0" w:color="auto"/>
          </w:divBdr>
        </w:div>
      </w:divsChild>
    </w:div>
    <w:div w:id="5652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m33@leicester.ac.uk" TargetMode="External"/><Relationship Id="rId3" Type="http://schemas.openxmlformats.org/officeDocument/2006/relationships/settings" Target="settings.xml"/><Relationship Id="rId7" Type="http://schemas.openxmlformats.org/officeDocument/2006/relationships/hyperlink" Target="mailto:whjn1@leices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c.uk/people/mervyn-thomas" TargetMode="External"/><Relationship Id="rId11" Type="http://schemas.openxmlformats.org/officeDocument/2006/relationships/theme" Target="theme/theme1.xml"/><Relationship Id="rId5" Type="http://schemas.openxmlformats.org/officeDocument/2006/relationships/hyperlink" Target="mailto:mt350@le.ac.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ac.uk/study/research-degrees/funded-opportunities/bbsrc-mib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6</cp:revision>
  <dcterms:created xsi:type="dcterms:W3CDTF">2023-10-25T15:37:00Z</dcterms:created>
  <dcterms:modified xsi:type="dcterms:W3CDTF">2023-11-02T09:34:00Z</dcterms:modified>
</cp:coreProperties>
</file>