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51D4" w14:textId="77777777" w:rsidR="00FB1969" w:rsidRDefault="00FB1969" w:rsidP="00FB1969">
      <w:pPr>
        <w:rPr>
          <w:b/>
        </w:rPr>
      </w:pPr>
      <w:r>
        <w:rPr>
          <w:b/>
        </w:rPr>
        <w:t>University of Leicester PhD studentship</w:t>
      </w:r>
    </w:p>
    <w:p w14:paraId="68C50628" w14:textId="77777777" w:rsidR="00FB1969" w:rsidRDefault="00FB1969" w:rsidP="00FB1969">
      <w:pPr>
        <w:rPr>
          <w:b/>
        </w:rPr>
      </w:pPr>
      <w:r>
        <w:rPr>
          <w:b/>
        </w:rPr>
        <w:t xml:space="preserve">Funding Source: </w:t>
      </w:r>
      <w:r>
        <w:t>CENTA DTP</w:t>
      </w:r>
    </w:p>
    <w:p w14:paraId="698A2C0F" w14:textId="77777777" w:rsidR="00FB1969" w:rsidRDefault="00FB1969" w:rsidP="00FB1969">
      <w:pPr>
        <w:rPr>
          <w:b/>
        </w:rPr>
      </w:pPr>
      <w:r>
        <w:rPr>
          <w:b/>
        </w:rPr>
        <w:t xml:space="preserve">Proposed start date: </w:t>
      </w:r>
      <w:r>
        <w:t>23</w:t>
      </w:r>
      <w:r>
        <w:rPr>
          <w:vertAlign w:val="superscript"/>
        </w:rPr>
        <w:t xml:space="preserve">rd </w:t>
      </w:r>
      <w:r>
        <w:t>September 2024</w:t>
      </w:r>
    </w:p>
    <w:p w14:paraId="74C91B21" w14:textId="51D5CF0A" w:rsidR="00FB1969" w:rsidRDefault="00FB1969" w:rsidP="00FB1969">
      <w:pPr>
        <w:rPr>
          <w:b/>
          <w:color w:val="FF0000"/>
        </w:rPr>
      </w:pPr>
      <w:r>
        <w:rPr>
          <w:b/>
        </w:rPr>
        <w:t xml:space="preserve">Closing date for applications: </w:t>
      </w:r>
      <w:r w:rsidR="00E13844" w:rsidRPr="00E13844">
        <w:t>See our web page</w:t>
      </w:r>
    </w:p>
    <w:p w14:paraId="6222BF77" w14:textId="77777777" w:rsidR="00FB1969" w:rsidRDefault="00FB1969" w:rsidP="00FB1969">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076B2A65" w14:textId="77777777" w:rsidR="00F958CF" w:rsidRDefault="00F958CF" w:rsidP="00B90549">
      <w:r w:rsidRPr="0089276A">
        <w:rPr>
          <w:b/>
        </w:rPr>
        <w:t>Department/School:</w:t>
      </w:r>
      <w:r w:rsidRPr="0089276A">
        <w:t xml:space="preserve">  </w:t>
      </w:r>
      <w:r>
        <w:rPr>
          <w:noProof/>
        </w:rPr>
        <w:t>Geography</w:t>
      </w:r>
    </w:p>
    <w:p w14:paraId="325ADCB0" w14:textId="41D3DE1A" w:rsidR="003F16CA" w:rsidRDefault="00F958CF" w:rsidP="003F16CA">
      <w:r w:rsidRPr="0089276A">
        <w:rPr>
          <w:b/>
        </w:rPr>
        <w:t>Supervisors:</w:t>
      </w:r>
      <w:r w:rsidRPr="0089276A">
        <w:tab/>
      </w:r>
      <w:r w:rsidR="003F16CA">
        <w:rPr>
          <w:b/>
        </w:rPr>
        <w:t xml:space="preserve">PI: </w:t>
      </w:r>
      <w:r w:rsidR="003F16CA" w:rsidRPr="003F16CA">
        <w:rPr>
          <w:bCs/>
        </w:rPr>
        <w:t>Prof Mark Williams (Leicester)</w:t>
      </w:r>
      <w:r w:rsidR="003F16CA" w:rsidRPr="003F16CA">
        <w:t xml:space="preserve"> </w:t>
      </w:r>
      <w:hyperlink r:id="rId6" w:history="1">
        <w:r w:rsidR="003F16CA" w:rsidRPr="006A7E0D">
          <w:rPr>
            <w:rStyle w:val="Hyperlink"/>
          </w:rPr>
          <w:t>mri@leicester.ac.uk</w:t>
        </w:r>
      </w:hyperlink>
    </w:p>
    <w:p w14:paraId="393313F2" w14:textId="77777777" w:rsidR="003F16CA" w:rsidRPr="003F16CA" w:rsidRDefault="003F16CA" w:rsidP="003F16CA">
      <w:pPr>
        <w:ind w:left="1440"/>
        <w:rPr>
          <w:bCs/>
        </w:rPr>
      </w:pPr>
      <w:r>
        <w:rPr>
          <w:b/>
        </w:rPr>
        <w:t xml:space="preserve">Co-I: </w:t>
      </w:r>
      <w:r w:rsidRPr="003F16CA">
        <w:rPr>
          <w:bCs/>
        </w:rPr>
        <w:t>Dr James Borrell (Kew)</w:t>
      </w:r>
    </w:p>
    <w:p w14:paraId="343CC82A" w14:textId="4AB94BBE" w:rsidR="003F16CA" w:rsidRPr="003F16CA" w:rsidRDefault="003F16CA" w:rsidP="003F16CA">
      <w:pPr>
        <w:ind w:left="1440"/>
        <w:rPr>
          <w:bCs/>
        </w:rPr>
      </w:pPr>
      <w:r>
        <w:rPr>
          <w:b/>
        </w:rPr>
        <w:t xml:space="preserve">Co-I: </w:t>
      </w:r>
      <w:r w:rsidRPr="003F16CA">
        <w:rPr>
          <w:bCs/>
        </w:rPr>
        <w:t xml:space="preserve">Prof Robin </w:t>
      </w:r>
      <w:proofErr w:type="spellStart"/>
      <w:r w:rsidRPr="003F16CA">
        <w:rPr>
          <w:bCs/>
        </w:rPr>
        <w:t>Allaby</w:t>
      </w:r>
      <w:proofErr w:type="spellEnd"/>
      <w:r w:rsidRPr="003F16CA">
        <w:rPr>
          <w:bCs/>
        </w:rPr>
        <w:t xml:space="preserve"> (Warwick)</w:t>
      </w:r>
    </w:p>
    <w:p w14:paraId="0432BBC0" w14:textId="419B8773" w:rsidR="003F16CA" w:rsidRPr="003F16CA" w:rsidRDefault="003F16CA" w:rsidP="003F16CA">
      <w:pPr>
        <w:ind w:left="1440"/>
        <w:rPr>
          <w:bCs/>
        </w:rPr>
      </w:pPr>
      <w:r>
        <w:rPr>
          <w:b/>
        </w:rPr>
        <w:t xml:space="preserve">Co-I: </w:t>
      </w:r>
      <w:r w:rsidRPr="003F16CA">
        <w:rPr>
          <w:bCs/>
        </w:rPr>
        <w:t>Dr Juan Carlos Berrio (Leicester)</w:t>
      </w:r>
    </w:p>
    <w:p w14:paraId="01C08386" w14:textId="2959599E" w:rsidR="00F958CF" w:rsidRPr="0089276A" w:rsidRDefault="00F958CF" w:rsidP="003F16CA">
      <w:pPr>
        <w:ind w:left="1440" w:hanging="1440"/>
        <w:rPr>
          <w:b/>
        </w:rPr>
      </w:pPr>
      <w:r w:rsidRPr="0089276A">
        <w:rPr>
          <w:b/>
        </w:rPr>
        <w:t xml:space="preserve">Project Title: </w:t>
      </w:r>
      <w:r w:rsidRPr="0089276A">
        <w:rPr>
          <w:b/>
        </w:rPr>
        <w:tab/>
      </w:r>
      <w:r>
        <w:rPr>
          <w:noProof/>
        </w:rPr>
        <w:t>Understanding the origins of agriculture to guide future climate adaptation</w:t>
      </w:r>
      <w:r w:rsidRPr="001E178F">
        <w:t>.</w:t>
      </w:r>
    </w:p>
    <w:p w14:paraId="51825291" w14:textId="77777777" w:rsidR="00F958CF" w:rsidRPr="0089276A" w:rsidRDefault="00F958CF" w:rsidP="00186CBA">
      <w:pPr>
        <w:ind w:left="1440" w:hanging="1440"/>
        <w:rPr>
          <w:bCs/>
        </w:rPr>
      </w:pPr>
    </w:p>
    <w:p w14:paraId="0FA668EF" w14:textId="38ED2FEA" w:rsidR="00F958CF" w:rsidRDefault="00F958CF" w:rsidP="00186CBA">
      <w:pPr>
        <w:ind w:left="1440" w:hanging="1440"/>
        <w:rPr>
          <w:b/>
          <w:bCs/>
        </w:rPr>
      </w:pPr>
      <w:r w:rsidRPr="0089276A">
        <w:rPr>
          <w:b/>
          <w:bCs/>
        </w:rPr>
        <w:t>Project Description:</w:t>
      </w:r>
    </w:p>
    <w:p w14:paraId="1972D983" w14:textId="77777777" w:rsidR="003F16CA" w:rsidRDefault="003F16CA" w:rsidP="003F16CA">
      <w:r>
        <w:rPr>
          <w:b/>
        </w:rPr>
        <w:t xml:space="preserve">Project Highlights: </w:t>
      </w:r>
    </w:p>
    <w:p w14:paraId="660F3A19" w14:textId="77777777" w:rsidR="003F16CA" w:rsidRDefault="003F16CA" w:rsidP="003F16CA">
      <w:pPr>
        <w:numPr>
          <w:ilvl w:val="0"/>
          <w:numId w:val="10"/>
        </w:numPr>
        <w:spacing w:after="0"/>
      </w:pPr>
      <w:r>
        <w:t>Agriculture arose independently in many regions of the world, and that pattern may hold clues to identifying the resilient agriculture of the near-future, in a rapidly changing world.</w:t>
      </w:r>
    </w:p>
    <w:p w14:paraId="7134C42B" w14:textId="77777777" w:rsidR="003F16CA" w:rsidRDefault="003F16CA" w:rsidP="003F16CA">
      <w:pPr>
        <w:spacing w:after="0"/>
        <w:ind w:left="720"/>
      </w:pPr>
    </w:p>
    <w:p w14:paraId="1056A5D4" w14:textId="77777777" w:rsidR="003F16CA" w:rsidRDefault="003F16CA" w:rsidP="003F16CA">
      <w:pPr>
        <w:numPr>
          <w:ilvl w:val="0"/>
          <w:numId w:val="10"/>
        </w:numPr>
        <w:spacing w:after="0"/>
      </w:pPr>
      <w:r>
        <w:t>Climate change will radically shift crop distributions in the coming century and in order to adapt to this future we must learn from the past.</w:t>
      </w:r>
    </w:p>
    <w:p w14:paraId="67246166" w14:textId="77777777" w:rsidR="003F16CA" w:rsidRDefault="003F16CA" w:rsidP="003F16CA">
      <w:pPr>
        <w:spacing w:after="0"/>
        <w:ind w:left="720"/>
      </w:pPr>
    </w:p>
    <w:p w14:paraId="79B96669" w14:textId="77777777" w:rsidR="003F16CA" w:rsidRDefault="003F16CA" w:rsidP="003F16CA">
      <w:pPr>
        <w:numPr>
          <w:ilvl w:val="0"/>
          <w:numId w:val="10"/>
        </w:numPr>
        <w:pBdr>
          <w:top w:val="nil"/>
          <w:left w:val="nil"/>
          <w:bottom w:val="nil"/>
          <w:right w:val="nil"/>
          <w:between w:val="nil"/>
        </w:pBdr>
      </w:pPr>
      <w:r>
        <w:t>Identifying agrobiodiversity hotspots and conserving them as libraries of crop diversity is key to delivering resilient and sustainable food security.</w:t>
      </w:r>
    </w:p>
    <w:p w14:paraId="589ABA9C" w14:textId="77777777" w:rsidR="003F16CA" w:rsidRDefault="003F16CA" w:rsidP="003F16CA">
      <w:pPr>
        <w:pBdr>
          <w:top w:val="nil"/>
          <w:left w:val="nil"/>
          <w:bottom w:val="nil"/>
          <w:right w:val="nil"/>
          <w:between w:val="nil"/>
        </w:pBdr>
        <w:ind w:left="720"/>
      </w:pPr>
    </w:p>
    <w:p w14:paraId="42F5E53D" w14:textId="77777777" w:rsidR="003F16CA" w:rsidRDefault="003F16CA" w:rsidP="003F16CA">
      <w:r>
        <w:rPr>
          <w:b/>
        </w:rPr>
        <w:t xml:space="preserve">Overview </w:t>
      </w:r>
    </w:p>
    <w:p w14:paraId="6E682495" w14:textId="77777777" w:rsidR="003F16CA" w:rsidRDefault="003F16CA" w:rsidP="003F16CA">
      <w:pPr>
        <w:spacing w:after="240" w:line="276" w:lineRule="auto"/>
        <w:jc w:val="both"/>
      </w:pPr>
      <w:r>
        <w:t xml:space="preserve">Around 12,000 years ago 99% of the human population were hunter gatherers, but by 5000 years ago 99% were farmers </w:t>
      </w:r>
      <w:r>
        <w:fldChar w:fldCharType="begin"/>
      </w:r>
      <w:r>
        <w:instrText xml:space="preserve"> ADDIN ZOTERO_ITEM CSL_CITATION {"citationID":"OzuUJUlw","properties":{"formattedCitation":"(Weisdorf, 2005)","plainCitation":"(Weisdorf, 2005)","noteIndex":0},"citationItems":[{"id":1096,"uris":["http://zotero.org/users/11332475/items/CXETKNNN"],"itemData":{"id":1096,"type":"article-journal","abstract":"This article reviews the main theories about the prehistoric shift from hunting and gathering to agriculture. The transition, also known as the Neolithic Revolution, was ultimately necessary to the rise of modern civilization by creating the foundation for the later process of industrialization and sustained economic growth. The article provides a brief historical survey of the leading hypotheses concerning the rise of agriculture proposed in the archaeological and anthropological literature. It then turns to a more detailed review of the theories put forth in the economic literature.","container-title":"Journal of Economic Surveys","DOI":"10.1111/j.0950-0804.2005.00259.x","ISSN":"0950-0804, 1467-6419","issue":"4","journalAbbreviation":"J Economic Surveys","language":"en","page":"561-586","source":"DOI.org (Crossref)","title":"From Foraging To Farming: Explaining The Neolithic Revolution","title-short":"From Foraging To Farming","volume":"19","author":[{"family":"Weisdorf","given":"Jacob L."}],"issued":{"date-parts":[["2005",9]]}}}],"schema":"https://github.com/citation-style-language/schema/raw/master/csl-citation.json"} </w:instrText>
      </w:r>
      <w:r>
        <w:fldChar w:fldCharType="separate"/>
      </w:r>
      <w:r w:rsidRPr="00BB0BF7">
        <w:t>(Weisdorf, 2005)</w:t>
      </w:r>
      <w:r>
        <w:fldChar w:fldCharType="end"/>
      </w:r>
      <w:r>
        <w:t xml:space="preserve">. This characterises one of the most fundamental transitions in our species’ history, dramatically altering our relationship with nature. After 300,000 years of modern </w:t>
      </w:r>
      <w:r>
        <w:rPr>
          <w:i/>
        </w:rPr>
        <w:t>Homo sapiens</w:t>
      </w:r>
      <w:r>
        <w:t xml:space="preserve">’, agriculture arose rapidly and independently in as many as 11 separate regions – termed the Neolithic Revolution </w:t>
      </w:r>
      <w:r>
        <w:fldChar w:fldCharType="begin"/>
      </w:r>
      <w:r>
        <w:instrText xml:space="preserve"> ADDIN ZOTERO_ITEM CSL_CITATION {"citationID":"MqNbWakb","properties":{"formattedCitation":"(Harlan, 1971; Meyer et al., 2012)","plainCitation":"(Harlan, 1971; Meyer et al., 2012)","noteIndex":0},"citationItems":[{"id":413,"uris":["http://zotero.org/users/11332475/items/9QY5VA9T"],"itemData":{"id":413,"type":"article-journal","container-title":"Science","DOI":"10.1126/science.174.4008.468","ISSN":"0036-8075, 1095-9203","issue":"4008","journalAbbreviation":"Science","language":"en","page":"468-474","source":"DOI.org (Crossref)","title":"Agricultural Origins: Centers and Noncenters: Agriculture may originate in discrete centers or evolve over vast areas without definable centers.","title-short":"Agricultural Origins","volume":"174","author":[{"family":"Harlan","given":"Jack R."}],"issued":{"date-parts":[["1971",10,29]]}}},{"id":552,"uris":["http://zotero.org/users/11332475/items/6GG7HFYX"],"itemData":{"id":552,"type":"article-journal","container-title":"New Phytologist","DOI":"10.1111/j.1469-8137.2012.04253.x","ISSN":"0028-646X, 1469-8137","issue":"1","journalAbbreviation":"New Phytologist","language":"en","page":"29-48","source":"DOI.org (Crossref)","title":"Patterns and processes in crop domestication: an historical review and quantitative analysis of 203 global food crops","title-short":"Patterns and processes in crop domestication","volume":"196","author":[{"family":"Meyer","given":"Rachel S."},{"family":"DuVal","given":"Ashley E."},{"family":"Jensen","given":"Helen R."}],"issued":{"date-parts":[["2012",10]]}}}],"schema":"https://github.com/citation-style-language/schema/raw/master/csl-citation.json"} </w:instrText>
      </w:r>
      <w:r>
        <w:fldChar w:fldCharType="separate"/>
      </w:r>
      <w:r w:rsidRPr="00B50D21">
        <w:t>(Harlan, 1971; Meyer et al., 2012)</w:t>
      </w:r>
      <w:r>
        <w:fldChar w:fldCharType="end"/>
      </w:r>
      <w:r>
        <w:t xml:space="preserve">. What precipitated this radical change? Was it driven by growing population, increasing cultural and technological sophistication, over exploitation of natural resources or environmental change? In the coming century of climate change, global agriculture will be forced to undergo another rapid change. Crop distributions will shift to keep pace with suitable climate envelopes and new or underutilised species may form an increasingly important part of our food system </w:t>
      </w:r>
      <w:r>
        <w:fldChar w:fldCharType="begin"/>
      </w:r>
      <w:r>
        <w:instrText xml:space="preserve"> ADDIN ZOTERO_ITEM CSL_CITATION {"citationID":"qCjedUy8","properties":{"formattedCitation":"(Borrell et al., 2020; Rampersad et al., 2023)","plainCitation":"(Borrell et al., 2020; Rampersad et al., 2023)","noteIndex":0},"citationItems":[{"id":995,"uris":["http://zotero.org/groups/5035901/items/BK75HZPX"],"itemData":{"id":995,"type":"article-journal","abstract":"More than 31,000 useful plant species have been documented to fulfil needs and services for humans or the animals and environment we depend on. Despite this diversity, humans currently satisfy most requirements with surprisingly few plant species; for example, just three crops – rice, wheat and maize – comprise more than 50% of plant derived calories. Here, we synthesize the projected impact of global climatic change on useful plants across the spectrum of plant domestication. We illustrate the demographic, spatial, ecophysiological, chemical, functional, evolutionary and cultural traits that are likely to characterise useful plants and their resilience in the next century. Using this framework, we consider a range of possible pathways for future human use of plants. These are centred on two trade-offs: i) diversification versus specialization in the range of species we utilize, and ii) substitution of the species towards those better suited to future climate versus facilitating adaptation in our existing suite of dominant useful plants. In the coming century, major challenges to agriculture and biodiversity will be dominated by increased climatic variation, shifting species ranges, disruption to biotic interactions, nutrient limitation and emerging pests and pathogens. These challenges must be mitigated, whilst enhancing sustainable production to meet the needs of a growing population and a more resource intensive standard of living. With the continued erosion of biodiversity, our future ability to choose among these pathways and trade-offs is likely to be diminished.","collection-title":"The climatic challenge: learning from past survivors and present outliers","container-title":"Environmental and Experimental Botany","DOI":"10.1016/j.envexpbot.2019.103872","ISSN":"0098-8472","journalAbbreviation":"Environmental and Experimental Botany","language":"en","page":"103872","source":"ScienceDirect","title":"The climatic challenge: Which plants will people use in the next century?","title-short":"The climatic challenge","volume":"170","author":[{"family":"Borrell","given":"J. S."},{"family":"Dodsworth","given":"S."},{"family":"Forest","given":"F."},{"family":"Pérez-Escobar","given":"O. A."},{"family":"Lee","given":"M. A."},{"family":"Mattana","given":"E."},{"family":"Stevenson","given":"P. C."},{"family":"Howes","given":"M. -J. R."},{"family":"Pritchard","given":"H. W."},{"family":"Ballesteros","given":"D."},{"family":"Kusumoto","given":"B."},{"family":"Ondo","given":"I."},{"family":"Moat","given":"J."},{"family":"Milliken","given":"W."},{"family":"Ryan","given":"P."},{"family":"Ulian","given":"T."},{"family":"Pironon","given":"S."}],"issued":{"date-parts":[["2020",2,1]]}}},{"id":979,"uris":["http://zotero.org/users/11332475/items/TT2YCGUA"],"itemData":{"id":979,"type":"article-journal","abstract":"The global expansion of a handful of major crops risks eroding indigenous crop diversity and homogenising agroecosystems, with significant consequences for sustainable and resilient food systems. Here, we investigate the farm-scale impact of introduced crops on indigenous agroecosystems.","container-title":"PLANTS, PEOPLE, PLANET","DOI":"10.1002/ppp3.10407","ISSN":"2572-2611, 2572-2611","journalAbbreviation":"Plants People Planet","language":"en","page":"ppp3.10407","source":"DOI.org (Crossref)","title":"Indigenous crop diversity maintained despite the introduction of major global crops in an African centre of agrobiodiversity","author":[{"family":"Rampersad","given":"Chris"},{"family":"Geto","given":"Tesfu"},{"family":"Samuel","given":"Tarekegn"},{"family":"Abebe","given":"Meseret"},{"family":"Gomez","given":"Marybel Soto"},{"family":"Pironon","given":"Samuel"},{"family":"Büchi","given":"Lucie"},{"family":"Haggar","given":"Jeremy"},{"family":"Stocks","given":"Jonathan"},{"family":"Ryan","given":"Philippa"},{"family":"Buggs","given":"Richard J. A."},{"family":"Demissew","given":"Sebsebe"},{"family":"Wilkin","given":"Paul"},{"family":"Abebe","given":"Wendawek M."},{"family":"Borrell","given":"James S."}],"issued":{"date-parts":[["2023",7,19]]}}}],"schema":"https://github.com/citation-style-language/schema/raw/master/csl-citation.json"} </w:instrText>
      </w:r>
      <w:r>
        <w:fldChar w:fldCharType="separate"/>
      </w:r>
      <w:r w:rsidRPr="001F38AA">
        <w:t>(Borrell et al., 2020; Rampersad et al., 2023)</w:t>
      </w:r>
      <w:r>
        <w:fldChar w:fldCharType="end"/>
      </w:r>
      <w:r>
        <w:t>. What can early agriculture teach us about the potential to adapt?</w:t>
      </w:r>
    </w:p>
    <w:p w14:paraId="2C5056A6" w14:textId="77777777" w:rsidR="003F16CA" w:rsidRDefault="003F16CA" w:rsidP="003F16CA">
      <w:pPr>
        <w:spacing w:after="0" w:line="276" w:lineRule="auto"/>
        <w:jc w:val="both"/>
      </w:pPr>
      <w:r>
        <w:t xml:space="preserve">This project will investigate the rapid, but asynchronous origins of agriculture in a number of discrete regions at the end of the last ice age, and the highly heterogeneous distribution of 'centres of </w:t>
      </w:r>
      <w:r>
        <w:lastRenderedPageBreak/>
        <w:t xml:space="preserve">domestication' that do not necessarily align with broader global biodiversity gradients </w:t>
      </w:r>
      <w:r>
        <w:fldChar w:fldCharType="begin"/>
      </w:r>
      <w:r>
        <w:instrText xml:space="preserve"> ADDIN ZOTERO_ITEM CSL_CITATION {"citationID":"shWyCHpT","properties":{"formattedCitation":"(Pironon et al., 2020)","plainCitation":"(Pironon et al., 2020)","noteIndex":0},"citationItems":[{"id":405,"uris":["http://zotero.org/users/11332475/items/Q9NJSWKN"],"itemData":{"id":405,"type":"article-journal","abstract":"Global biodiversity hotspots are areas containing high levels of species richness, endemism and threat. Similarly, regions of agriculturally relevant diversity have been identiﬁed where many domesticated plants and animals originated, and co-occurred with their wild ancestors and relatives. The agro-biodiversity in these regions has, likewise, often been considered threatened. Biodiversity and agro-biodiversity hotspots partly overlap, but their geographic intricacies have rarely been investigated together. Here we review the history of these two concepts and explore their geographic relationship by analysing global distribution and human use data for all plants, and for major crops and associated wild relatives. We highlight a geographic continuum between agro-biodiversity hotspots that contain high richness in species that are intensively used and well known by humanity (i.e., major crops and most viewed species on Wikipedia) and biodiversity hotspots encompassing species that are less heavily used and documented (i.e., crop wild relatives and species lacking information on Wikipedia). Our contribution highlights the key considerations needed for further developing a unifying concept of agro-biodiversity hotspots that encompasses multiple facets of diversity (including genetic and phylogenetic) and the linkage with overall biodiversity. This integration will ultimately enhance our understanding of the geography of human-plant interactions and help guide the preservation of nature and its contributions to people.","container-title":"Plants","DOI":"10.3390/plants9091128","ISSN":"2223-7747","issue":"9","journalAbbreviation":"Plants","language":"en","page":"1128","source":"DOI.org (Crossref)","title":"Toward Unifying Global Hotspots of Wild and Domesticated Biodiversity","volume":"9","author":[{"family":"Pironon","given":"Samuel"},{"family":"Borrell","given":"James S."},{"family":"Ondo","given":"Ian"},{"family":"Douglas","given":"Ruben"},{"family":"Phillips","given":"Charlotte"},{"family":"Khoury","given":"Colin K."},{"family":"Kantar","given":"Michael B."},{"family":"Fumia","given":"Nathan"},{"family":"Soto Gomez","given":"Marybel"},{"family":"Viruel","given":"Juan"},{"family":"Govaerts","given":"Rafael"},{"family":"Forest","given":"Félix"},{"family":"Antonelli","given":"Alexandre"}],"issued":{"date-parts":[["2020",8,31]]}}}],"schema":"https://github.com/citation-style-language/schema/raw/master/csl-citation.json"} </w:instrText>
      </w:r>
      <w:r>
        <w:fldChar w:fldCharType="separate"/>
      </w:r>
      <w:r w:rsidRPr="00B50D21">
        <w:t>(Pironon et al., 2020)</w:t>
      </w:r>
      <w:r>
        <w:fldChar w:fldCharType="end"/>
      </w:r>
      <w:r>
        <w:t>. This is important, because we face a twin biodiversity crisis, whereby the decline of wild biodiversity is mirrored by a decline in the diversity of crops we use. Indeed, o</w:t>
      </w:r>
      <w:sdt>
        <w:sdtPr>
          <w:rPr>
            <w:color w:val="2B579A"/>
            <w:shd w:val="clear" w:color="auto" w:fill="E6E6E6"/>
          </w:rPr>
          <w:tag w:val="goog_rdk_2"/>
          <w:id w:val="1151325142"/>
        </w:sdtPr>
        <w:sdtEndPr>
          <w:rPr>
            <w:color w:val="auto"/>
            <w:shd w:val="clear" w:color="auto" w:fill="auto"/>
          </w:rPr>
        </w:sdtEndPr>
        <w:sdtContent/>
      </w:sdt>
      <w:r>
        <w:t xml:space="preserve">ver recent decades our global food system has become increasingly uniform </w:t>
      </w:r>
      <w:r>
        <w:fldChar w:fldCharType="begin"/>
      </w:r>
      <w:r>
        <w:instrText xml:space="preserve"> ADDIN ZOTERO_ITEM CSL_CITATION {"citationID":"5PVWEjWa","properties":{"formattedCitation":"(Khoury et al., 2014)","plainCitation":"(Khoury et al., 2014)","noteIndex":0},"citationItems":[{"id":439,"uris":["http://zotero.org/users/11332475/items/WIPLJY52"],"itemData":{"id":439,"type":"article-journal","abstract":"Significance\n            This study provides evidence of change in the relative importance of different crop plants in national food supplies worldwide over the past 50 years. Within a global trend of increased overall quantities of food calories, protein, fat, and weight, and increased proportions of those quantities sourcing from energy-dense foods, national food supplies diversified in regard to contributing measured crop commodities. As a consequence, national food supplies globally have become increasingly similar in composition, based upon a suite of truly global crop plants. The growth in reliance worldwide on these crops heightens interdependence among countries in their food supplies, plant genetic resources, and nutritional priorities.\n          , \n            The narrowing of diversity in crop species contributing to the world’s food supplies has been considered a potential threat to food security. However, changes in this diversity have not been quantified globally. We assess trends over the past 50 y in the richness, abundance, and composition of crop species in national food supplies worldwide. Over this period, national per capita food supplies expanded in total quantities of food calories, protein, fat, and weight, with increased proportions of those quantities sourcing from energy-dense foods. At the same time the number of measured crop commodities contributing to national food supplies increased, the relative contribution of these commodities within these supplies became more even, and the dominance of the most significant commodities decreased. As a consequence, national food supplies worldwide became more similar in composition, correlated particularly with an increased supply of a number of globally important cereal and oil crops, and a decline of other cereal, oil, and starchy root species. The increase in homogeneity worldwide portends the establishment of a global standard food supply, which is relatively species-rich in regard to measured crops at the national level, but species-poor globally. These changes in food supplies heighten interdependence among countries in regard to availability and access to these food sources and the genetic resources supporting their production, and give further urgency to nutrition development priorities aimed at bolstering food security.","container-title":"Proceedings of the National Academy of Sciences","DOI":"10.1073/pnas.1313490111","ISSN":"0027-8424, 1091-6490","issue":"11","journalAbbreviation":"Proc. Natl. Acad. Sci. U.S.A.","language":"en","page":"4001-4006","source":"DOI.org (Crossref)","title":"Increasing homogeneity in global food supplies and the implications for food security","volume":"111","author":[{"family":"Khoury","given":"Colin K."},{"family":"Bjorkman","given":"Anne D."},{"family":"Dempewolf","given":"Hannes"},{"family":"Ramirez-Villegas","given":"Julian"},{"family":"Guarino","given":"Luigi"},{"family":"Jarvis","given":"Andy"},{"family":"Rieseberg","given":"Loren H."},{"family":"Struik","given":"Paul C."}],"issued":{"date-parts":[["2014",3,18]]}}}],"schema":"https://github.com/citation-style-language/schema/raw/master/csl-citation.json"} </w:instrText>
      </w:r>
      <w:r>
        <w:fldChar w:fldCharType="separate"/>
      </w:r>
      <w:r w:rsidRPr="00BB0BF7">
        <w:t>(Khoury et al., 2014)</w:t>
      </w:r>
      <w:r>
        <w:fldChar w:fldCharType="end"/>
      </w:r>
      <w:r>
        <w:t xml:space="preserve">. </w:t>
      </w:r>
      <w:sdt>
        <w:sdtPr>
          <w:rPr>
            <w:color w:val="2B579A"/>
            <w:shd w:val="clear" w:color="auto" w:fill="E6E6E6"/>
          </w:rPr>
          <w:tag w:val="goog_rdk_3"/>
          <w:id w:val="1397782710"/>
        </w:sdtPr>
        <w:sdtEndPr>
          <w:rPr>
            <w:color w:val="auto"/>
            <w:shd w:val="clear" w:color="auto" w:fill="auto"/>
          </w:rPr>
        </w:sdtEndPr>
        <w:sdtContent/>
      </w:sdt>
      <w:r>
        <w:t xml:space="preserve">Despite evidence that humans have consumed more than 7000 species of plants, more than half of global calories are derived from just three species - rice, wheat and maize </w:t>
      </w:r>
      <w:r>
        <w:fldChar w:fldCharType="begin"/>
      </w:r>
      <w:r>
        <w:instrText xml:space="preserve"> ADDIN ZOTERO_ITEM CSL_CITATION {"citationID":"8Gq2mJVv","properties":{"formattedCitation":"(Antonelli et al., 2020)","plainCitation":"(Antonelli et al., 2020)","dontUpdate":true,"noteIndex":0},"citationItems":[{"id":793,"uris":["http://zotero.org/users/11332475/items/GWWP7DJC"],"itemData":{"id":793,"type":"article-journal","DOI":"https://doi.org/10.34885/172","language":"en","source":"Zotero","title":"State of the World's Plants and Fungi","URL":"https://www.kew.org/science/state-of-the-worlds-plants-and-fungi","author":[{"family":"Antonelli","given":"A"},{"family":"Smith","given":"R J"},{"family":"Fry","given":"C"},{"family":"Simmonds","given":"Monique S J"},{"family":"Kersey","given":"Paul J"},{"family":"Pritchard","given":"H W"},{"family":"Abbo","given":"M S"},{"family":"Acedo","given":"C"},{"family":"Adams","given":"J"}],"issued":{"date-parts":[["2020"]]}}}],"schema":"https://github.com/citation-style-language/schema/raw/master/csl-citation.json"} </w:instrText>
      </w:r>
      <w:r>
        <w:fldChar w:fldCharType="separate"/>
      </w:r>
      <w:r w:rsidRPr="00BB0BF7">
        <w:t>(</w:t>
      </w:r>
      <w:r>
        <w:t>SOTWPF</w:t>
      </w:r>
      <w:r w:rsidRPr="00BB0BF7">
        <w:t>, 2020)</w:t>
      </w:r>
      <w:r>
        <w:fldChar w:fldCharType="end"/>
      </w:r>
      <w:r>
        <w:t xml:space="preserve">. Understanding what drove and maintained hotspots of agrobiodiversity will be the key to conserving them and their associated indigenous knowledge for a sustainable and resilient future food system. </w:t>
      </w:r>
    </w:p>
    <w:p w14:paraId="2118F526" w14:textId="77777777" w:rsidR="003F16CA" w:rsidRDefault="003F16CA" w:rsidP="003F16CA">
      <w:pPr>
        <w:spacing w:after="0" w:line="276" w:lineRule="auto"/>
        <w:jc w:val="both"/>
      </w:pPr>
    </w:p>
    <w:p w14:paraId="55817A49" w14:textId="77777777" w:rsidR="003F16CA" w:rsidRDefault="003F16CA" w:rsidP="003F16CA">
      <w:pPr>
        <w:spacing w:after="0" w:line="276" w:lineRule="auto"/>
        <w:jc w:val="both"/>
      </w:pPr>
      <w:r>
        <w:t xml:space="preserve">This project supports our broader goal of area-based conservation for agrobiodiversity. By identifying agrobiodiversity </w:t>
      </w:r>
      <w:proofErr w:type="gramStart"/>
      <w:r>
        <w:t>hotspots</w:t>
      </w:r>
      <w:proofErr w:type="gramEnd"/>
      <w:r>
        <w:t xml:space="preserve"> we can support countries to meet the Global Biodiversity Framework 30x30 target, and avoid loss of the biodiversity on which we are most dependent. </w:t>
      </w:r>
    </w:p>
    <w:p w14:paraId="633D274C" w14:textId="77777777" w:rsidR="003F16CA" w:rsidRDefault="003F16CA" w:rsidP="003F16CA">
      <w:pPr>
        <w:spacing w:after="0" w:line="276" w:lineRule="auto"/>
        <w:jc w:val="both"/>
      </w:pPr>
    </w:p>
    <w:p w14:paraId="3C197436" w14:textId="77777777" w:rsidR="003F16CA" w:rsidRDefault="003F16CA" w:rsidP="003F16CA">
      <w:pPr>
        <w:jc w:val="both"/>
      </w:pPr>
      <w:r>
        <w:rPr>
          <w:noProof/>
        </w:rPr>
        <w:drawing>
          <wp:inline distT="0" distB="0" distL="0" distR="0" wp14:anchorId="4C5E48C4" wp14:editId="581A6B02">
            <wp:extent cx="5724525" cy="5114925"/>
            <wp:effectExtent l="0" t="0" r="9525" b="9525"/>
            <wp:docPr id="15225556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5114925"/>
                    </a:xfrm>
                    <a:prstGeom prst="rect">
                      <a:avLst/>
                    </a:prstGeom>
                    <a:noFill/>
                    <a:ln>
                      <a:noFill/>
                    </a:ln>
                  </pic:spPr>
                </pic:pic>
              </a:graphicData>
            </a:graphic>
          </wp:inline>
        </w:drawing>
      </w:r>
    </w:p>
    <w:p w14:paraId="378C2125" w14:textId="77777777" w:rsidR="003F16CA" w:rsidRDefault="00E13844" w:rsidP="003F16CA">
      <w:pPr>
        <w:rPr>
          <w:i/>
          <w:sz w:val="20"/>
          <w:szCs w:val="20"/>
        </w:rPr>
      </w:pPr>
      <w:sdt>
        <w:sdtPr>
          <w:rPr>
            <w:color w:val="2B579A"/>
            <w:shd w:val="clear" w:color="auto" w:fill="E6E6E6"/>
          </w:rPr>
          <w:tag w:val="goog_rdk_4"/>
          <w:id w:val="1574315489"/>
          <w:showingPlcHdr/>
        </w:sdtPr>
        <w:sdtEndPr>
          <w:rPr>
            <w:color w:val="auto"/>
            <w:shd w:val="clear" w:color="auto" w:fill="auto"/>
          </w:rPr>
        </w:sdtEndPr>
        <w:sdtContent>
          <w:r w:rsidR="003F16CA">
            <w:rPr>
              <w:color w:val="2B579A"/>
              <w:shd w:val="clear" w:color="auto" w:fill="E6E6E6"/>
            </w:rPr>
            <w:t xml:space="preserve">     </w:t>
          </w:r>
        </w:sdtContent>
      </w:sdt>
      <w:r w:rsidR="003F16CA">
        <w:rPr>
          <w:i/>
          <w:sz w:val="20"/>
          <w:szCs w:val="20"/>
        </w:rPr>
        <w:t xml:space="preserve">Figure 1: A) The global distribution of biodiversity and agrobiodiversity hotspots. Biodiversity and agrobiodiversity hotspots do not always overlap, suggesting they may be driven by different processes. B) A smallholder farm in the Ethiopian Highlands, an area of exceptionally high biodiversity where Kew is working to support crop conservation. C) Fruits of </w:t>
      </w:r>
      <w:proofErr w:type="spellStart"/>
      <w:r w:rsidR="003F16CA">
        <w:rPr>
          <w:i/>
          <w:sz w:val="20"/>
          <w:szCs w:val="20"/>
        </w:rPr>
        <w:t>enset</w:t>
      </w:r>
      <w:proofErr w:type="spellEnd"/>
      <w:r w:rsidR="003F16CA">
        <w:rPr>
          <w:i/>
          <w:sz w:val="20"/>
          <w:szCs w:val="20"/>
        </w:rPr>
        <w:t xml:space="preserve">, a crop endemic to Ethiopia that provides the staple food for 20 million people. </w:t>
      </w:r>
    </w:p>
    <w:p w14:paraId="15E06701" w14:textId="77777777" w:rsidR="003F16CA" w:rsidRDefault="003F16CA" w:rsidP="003F16CA">
      <w:pPr>
        <w:ind w:left="567" w:hanging="567"/>
        <w:rPr>
          <w:i/>
          <w:color w:val="FF0000"/>
          <w:highlight w:val="white"/>
        </w:rPr>
      </w:pPr>
      <w:r>
        <w:rPr>
          <w:i/>
          <w:sz w:val="20"/>
          <w:szCs w:val="20"/>
        </w:rPr>
        <w:lastRenderedPageBreak/>
        <w:t>Alt text: A map showing biodiversity and agrobiodiversity hotspots, with examples of the landscape and crops in Ethiopia.</w:t>
      </w:r>
    </w:p>
    <w:p w14:paraId="5CDC4DAE" w14:textId="77777777" w:rsidR="003F16CA" w:rsidRDefault="003F16CA" w:rsidP="003F16CA">
      <w:pPr>
        <w:rPr>
          <w:i/>
          <w:color w:val="FF0000"/>
        </w:rPr>
      </w:pPr>
    </w:p>
    <w:p w14:paraId="0A9CEE85" w14:textId="77777777" w:rsidR="003F16CA" w:rsidRDefault="003F16CA" w:rsidP="003F16CA">
      <w:pPr>
        <w:rPr>
          <w:b/>
        </w:rPr>
      </w:pPr>
      <w:r>
        <w:rPr>
          <w:b/>
        </w:rPr>
        <w:t xml:space="preserve">Methodology: </w:t>
      </w:r>
    </w:p>
    <w:p w14:paraId="417723C8" w14:textId="77777777" w:rsidR="003F16CA" w:rsidRDefault="003F16CA" w:rsidP="003F16CA">
      <w:pPr>
        <w:jc w:val="both"/>
      </w:pPr>
      <w:r>
        <w:t xml:space="preserve">This project is timely because of multiple newly available datasets and increasingly accessible analysis techniques employing Google Earth Engine. In the first phase, the student will collate archaeobotanical and socio-cultural data on the origins of global crop species. We will then integrate high-resolution global </w:t>
      </w:r>
      <w:proofErr w:type="spellStart"/>
      <w:r>
        <w:t>palaeoclimate</w:t>
      </w:r>
      <w:proofErr w:type="spellEnd"/>
      <w:r>
        <w:t xml:space="preserve"> layers (</w:t>
      </w:r>
      <w:proofErr w:type="gramStart"/>
      <w:r>
        <w:t>e.g.</w:t>
      </w:r>
      <w:proofErr w:type="gramEnd"/>
      <w:r>
        <w:t xml:space="preserve"> </w:t>
      </w:r>
      <w:hyperlink r:id="rId8">
        <w:r>
          <w:rPr>
            <w:color w:val="1155CC"/>
            <w:u w:val="single"/>
          </w:rPr>
          <w:t>http://www.paleoclim.org/</w:t>
        </w:r>
      </w:hyperlink>
      <w:r>
        <w:t xml:space="preserve">) across the </w:t>
      </w:r>
      <w:proofErr w:type="spellStart"/>
      <w:r>
        <w:t>Greenlandian</w:t>
      </w:r>
      <w:proofErr w:type="spellEnd"/>
      <w:r>
        <w:t xml:space="preserve">, </w:t>
      </w:r>
      <w:proofErr w:type="spellStart"/>
      <w:r>
        <w:t>Northgrippian</w:t>
      </w:r>
      <w:proofErr w:type="spellEnd"/>
      <w:r>
        <w:t xml:space="preserve"> and </w:t>
      </w:r>
      <w:proofErr w:type="spellStart"/>
      <w:r>
        <w:t>Meghalayan</w:t>
      </w:r>
      <w:proofErr w:type="spellEnd"/>
      <w:r>
        <w:t xml:space="preserve"> data to understand the environmental conditions and sociocultural context associated with asynchronous adoption of agriculture and domestication of diverse crops. The multiple independent origins of agriculture over a several thousand-year period, together with heterogeneous global climate trends provide a means to examine and test hypotheses for the drivers of agriculture. </w:t>
      </w:r>
    </w:p>
    <w:p w14:paraId="12A483BB" w14:textId="4388DDF5" w:rsidR="003F16CA" w:rsidRDefault="003F16CA" w:rsidP="003F16CA">
      <w:pPr>
        <w:jc w:val="both"/>
      </w:pPr>
      <w:r>
        <w:t xml:space="preserve">A major feature of this proposal is the use of interdisciplinary methods. The student will be trained to integrate diverse archaeological evidence of past land-use change, to generate alternative lines of evidence with analytical modelling approaches including redundancy and geographically weighted path analysis. </w:t>
      </w:r>
    </w:p>
    <w:p w14:paraId="74B7E18F" w14:textId="77777777" w:rsidR="003F16CA" w:rsidRDefault="003F16CA" w:rsidP="003F16CA">
      <w:pPr>
        <w:jc w:val="both"/>
      </w:pPr>
    </w:p>
    <w:p w14:paraId="1A611B8B" w14:textId="77777777" w:rsidR="00F958CF" w:rsidRDefault="00F958CF" w:rsidP="00DC7AB5">
      <w:pPr>
        <w:pStyle w:val="NoSpacing"/>
        <w:rPr>
          <w:b/>
          <w:bCs/>
        </w:rPr>
      </w:pPr>
      <w:r w:rsidRPr="00D1675B">
        <w:rPr>
          <w:b/>
          <w:bCs/>
        </w:rPr>
        <w:t xml:space="preserve">References: </w:t>
      </w:r>
    </w:p>
    <w:p w14:paraId="1A6A6A02" w14:textId="77777777" w:rsidR="00F958CF" w:rsidRPr="00D1675B" w:rsidRDefault="00F958CF" w:rsidP="00DC7AB5">
      <w:pPr>
        <w:pStyle w:val="NoSpacing"/>
        <w:rPr>
          <w:b/>
          <w:bCs/>
        </w:rPr>
      </w:pPr>
    </w:p>
    <w:p w14:paraId="2C43D171" w14:textId="77777777" w:rsidR="003F16CA" w:rsidRPr="001F38AA" w:rsidRDefault="003F16CA" w:rsidP="003F16CA">
      <w:pPr>
        <w:pStyle w:val="Bibliography"/>
      </w:pPr>
      <w:r>
        <w:rPr>
          <w:b/>
        </w:rPr>
        <w:fldChar w:fldCharType="begin"/>
      </w:r>
      <w:r>
        <w:rPr>
          <w:b/>
        </w:rPr>
        <w:instrText xml:space="preserve"> ADDIN ZOTERO_BIBL {"uncited":[],"omitted":[],"custom":[]} CSL_BIBLIOGRAPHY </w:instrText>
      </w:r>
      <w:r>
        <w:rPr>
          <w:b/>
        </w:rPr>
        <w:fldChar w:fldCharType="separate"/>
      </w:r>
      <w:r w:rsidRPr="001F38AA">
        <w:t>Antonelli, A., Smith, R.J., Fry, C., Simmonds, M.S.J., Kersey, P.J., Pritchard, H.W., Abbo, M.S., Acedo, C., Adams, J., 2020. State of the World’s Plants and Fungi. https://doi.org/10.34885/172</w:t>
      </w:r>
    </w:p>
    <w:p w14:paraId="40C69E10" w14:textId="77777777" w:rsidR="003F16CA" w:rsidRPr="001F38AA" w:rsidRDefault="003F16CA" w:rsidP="003F16CA">
      <w:pPr>
        <w:pStyle w:val="Bibliography"/>
      </w:pPr>
      <w:r w:rsidRPr="001F38AA">
        <w:t>Borrell, J.S., Dodsworth, S., Forest, F., Pérez-Escobar, O.A., Lee, M.A., Mattana, E., Stevenson, P.C., Howes, M.-J.R., Pritchard, H.W., Ballesteros, D., Kusumoto, B., Ondo, I., Moat, J., Milliken, W., Ryan, P., Ulian, T., Pironon, S., 2020. The climatic challenge: Which plants will people use in the next century? Environmental and Experimental Botany, The climatic challenge: learning from past survivors and present outliers 170, 103872. https://doi.org/10.1016/j.envexpbot.2019.103872</w:t>
      </w:r>
    </w:p>
    <w:p w14:paraId="1EAAA6A1" w14:textId="77777777" w:rsidR="003F16CA" w:rsidRPr="001F38AA" w:rsidRDefault="003F16CA" w:rsidP="003F16CA">
      <w:pPr>
        <w:pStyle w:val="Bibliography"/>
      </w:pPr>
      <w:r w:rsidRPr="001F38AA">
        <w:t>Harlan, J.R., 1971. Agricultural Origins: Centers and Noncenters: Agriculture may originate in discrete centers or evolve over vast areas without definable centers. Science 174, 468–474. https://doi.org/10.1126/science.174.4008.468</w:t>
      </w:r>
    </w:p>
    <w:p w14:paraId="13C727A9" w14:textId="77777777" w:rsidR="003F16CA" w:rsidRPr="001F38AA" w:rsidRDefault="003F16CA" w:rsidP="003F16CA">
      <w:pPr>
        <w:pStyle w:val="Bibliography"/>
      </w:pPr>
      <w:r w:rsidRPr="001F38AA">
        <w:t>Khoury, C.K., Bjorkman, A.D., Dempewolf, H., Ramirez-Villegas, J., Guarino, L., Jarvis, A., Rieseberg, L.H., Struik, P.C., 2014. Increasing homogeneity in global food supplies and the implications for food security. Proc. Natl. Acad. Sci. U.S.A. 111, 4001–4006. https://doi.org/10.1073/pnas.1313490111</w:t>
      </w:r>
    </w:p>
    <w:p w14:paraId="5A494892" w14:textId="77777777" w:rsidR="003F16CA" w:rsidRPr="001F38AA" w:rsidRDefault="003F16CA" w:rsidP="003F16CA">
      <w:pPr>
        <w:pStyle w:val="Bibliography"/>
      </w:pPr>
      <w:r w:rsidRPr="001F38AA">
        <w:t>Meyer, R.S., DuVal, A.E., Jensen, H.R., 2012. Patterns and processes in crop domestication: an historical review and quantitative analysis of 203 global food crops. New Phytologist 196, 29–48. https://doi.org/10.1111/j.1469-8137.2012.04253.x</w:t>
      </w:r>
    </w:p>
    <w:p w14:paraId="4872027F" w14:textId="77777777" w:rsidR="003F16CA" w:rsidRPr="001F38AA" w:rsidRDefault="003F16CA" w:rsidP="003F16CA">
      <w:pPr>
        <w:pStyle w:val="Bibliography"/>
      </w:pPr>
      <w:r w:rsidRPr="001F38AA">
        <w:t>Milla, R., 2020. Crop Origins and Phylo Food: A database and a phylogenetic tree to stimulate comparative analyses on the origins of food crops. Global Ecol Biogeogr 29, 606–614. https://doi.org/10.1111/geb.13057</w:t>
      </w:r>
    </w:p>
    <w:p w14:paraId="58D6ACD5" w14:textId="77777777" w:rsidR="003F16CA" w:rsidRPr="001F38AA" w:rsidRDefault="003F16CA" w:rsidP="003F16CA">
      <w:pPr>
        <w:pStyle w:val="Bibliography"/>
      </w:pPr>
      <w:r w:rsidRPr="001F38AA">
        <w:t xml:space="preserve">Pacheco Coelho, M.T., Pereira, E.B., Haynie, H.J., Rangel, T.F., Kavanagh, P., Kirby, K.R., Greenhill, S.J., Bowern, C., Gray, R.D., Colwell, R.K., Evans, N., Gavin, M.C., 2019. Drivers of geographical patterns of </w:t>
      </w:r>
      <w:r w:rsidRPr="001F38AA">
        <w:lastRenderedPageBreak/>
        <w:t>North American language diversity. Proc. R. Soc. B. 286, 20190242. https://doi.org/10.1098/rspb.2019.0242</w:t>
      </w:r>
    </w:p>
    <w:p w14:paraId="3EB15A65" w14:textId="77777777" w:rsidR="003F16CA" w:rsidRPr="001F38AA" w:rsidRDefault="003F16CA" w:rsidP="003F16CA">
      <w:pPr>
        <w:pStyle w:val="Bibliography"/>
      </w:pPr>
      <w:r w:rsidRPr="001F38AA">
        <w:t>Pironon, S., Borrell, J.S., Ondo, I., Douglas, R., Phillips, C., Khoury, C.K., Kantar, M.B., Fumia, N., Soto Gomez, M., Viruel, J., Govaerts, R., Forest, F., Antonelli, A., 2020. Toward Unifying Global Hotspots of Wild and Domesticated Biodiversity. Plants 9, 1128. https://doi.org/10.3390/plants9091128</w:t>
      </w:r>
    </w:p>
    <w:p w14:paraId="34E5A790" w14:textId="77777777" w:rsidR="003F16CA" w:rsidRPr="001F38AA" w:rsidRDefault="003F16CA" w:rsidP="003F16CA">
      <w:pPr>
        <w:pStyle w:val="Bibliography"/>
      </w:pPr>
      <w:r w:rsidRPr="001F38AA">
        <w:t>Rampersad, C., Geto, T., Samuel, T., Abebe, M., Gomez, M.S., Pironon, S., Büchi, L., Haggar, J., Stocks, J., Ryan, P., Buggs, R.J.A., Demissew, S., Wilkin, P., Abebe, W.M., Borrell, J.S., 2023. Indigenous crop diversity maintained despite the introduction of major global crops in an African centre of agrobiodiversity. Plants People Planet ppp3.10407. https://doi.org/10.1002/ppp3.10407</w:t>
      </w:r>
    </w:p>
    <w:p w14:paraId="695A151A" w14:textId="77777777" w:rsidR="003F16CA" w:rsidRPr="001F38AA" w:rsidRDefault="003F16CA" w:rsidP="003F16CA">
      <w:pPr>
        <w:pStyle w:val="Bibliography"/>
      </w:pPr>
      <w:r w:rsidRPr="001F38AA">
        <w:t>Smith, B.D., 2006. Eastern North America as an independent center of plant domestication. Proc. Natl. Acad. Sci. U.S.A. 103, 12223–12228. https://doi.org/10.1073/pnas.0604335103</w:t>
      </w:r>
    </w:p>
    <w:p w14:paraId="3FE885D3" w14:textId="77777777" w:rsidR="003F16CA" w:rsidRPr="001F38AA" w:rsidRDefault="003F16CA" w:rsidP="003F16CA">
      <w:pPr>
        <w:pStyle w:val="Bibliography"/>
      </w:pPr>
      <w:r w:rsidRPr="001F38AA">
        <w:t>Weisdorf, J.L., 2005. From Foraging To Farming: Explaining The Neolithic Revolution. J Economic Surveys 19, 561–586. https://doi.org/10.1111/j.0950-0804.2005.00259.x</w:t>
      </w:r>
    </w:p>
    <w:p w14:paraId="1C70D294" w14:textId="45575C9D" w:rsidR="00F958CF" w:rsidRPr="00D1675B" w:rsidRDefault="003F16CA" w:rsidP="00DC7AB5">
      <w:pPr>
        <w:pStyle w:val="NoSpacing"/>
        <w:rPr>
          <w:bCs/>
        </w:rPr>
      </w:pPr>
      <w:r>
        <w:rPr>
          <w:b/>
        </w:rPr>
        <w:fldChar w:fldCharType="end"/>
      </w:r>
    </w:p>
    <w:p w14:paraId="2F4B452B" w14:textId="77777777" w:rsidR="00F958CF" w:rsidRDefault="00F958CF" w:rsidP="00186CBA">
      <w:pPr>
        <w:ind w:left="1440" w:hanging="1440"/>
        <w:rPr>
          <w:b/>
        </w:rPr>
      </w:pPr>
      <w:r w:rsidRPr="00D1675B">
        <w:rPr>
          <w:b/>
        </w:rPr>
        <w:t xml:space="preserve">Funding details: </w:t>
      </w:r>
    </w:p>
    <w:p w14:paraId="75A94E72" w14:textId="77777777" w:rsidR="00F958CF" w:rsidRPr="005A16DA" w:rsidRDefault="00F958CF" w:rsidP="001A22DD">
      <w:r>
        <w:t xml:space="preserve">NERC </w:t>
      </w:r>
      <w:r w:rsidRPr="005A16DA">
        <w:t>CENTA studentships are for 3.5 years and are funded by NERC. In addition to the full payment of your tuition fees, you will receive the following financial support:</w:t>
      </w:r>
    </w:p>
    <w:p w14:paraId="7B3364B8" w14:textId="77777777" w:rsidR="00F958CF" w:rsidRPr="005A16DA" w:rsidRDefault="00F958CF"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7DABEA0A" w14:textId="77777777" w:rsidR="00F958CF" w:rsidRPr="005A16DA" w:rsidRDefault="00F958CF" w:rsidP="001A22DD">
      <w:pPr>
        <w:numPr>
          <w:ilvl w:val="0"/>
          <w:numId w:val="8"/>
        </w:numPr>
      </w:pPr>
      <w:r w:rsidRPr="005A16DA">
        <w:t>Research training support grant</w:t>
      </w:r>
      <w:r>
        <w:t xml:space="preserve"> £8,000</w:t>
      </w:r>
      <w:r w:rsidRPr="005A16DA">
        <w:t xml:space="preserve"> (RTSG)</w:t>
      </w:r>
    </w:p>
    <w:p w14:paraId="473E83EF" w14:textId="77777777" w:rsidR="00F958CF" w:rsidRDefault="00F958CF" w:rsidP="001A22DD">
      <w:r>
        <w:t>If you are not eligible for UK Fees the University of Leicester will fund the difference between UK and International fees for the duration of your studies</w:t>
      </w:r>
    </w:p>
    <w:p w14:paraId="44583CDE" w14:textId="77777777" w:rsidR="00F958CF" w:rsidRDefault="00F958CF" w:rsidP="001A22DD">
      <w:r>
        <w:t xml:space="preserve">For more details of the CENTA consortium please see the CENTA website: www.centa.org.uk. </w:t>
      </w:r>
    </w:p>
    <w:p w14:paraId="0823F0B6" w14:textId="77777777" w:rsidR="00F958CF" w:rsidRPr="00D1675B" w:rsidRDefault="00F958CF" w:rsidP="00DC7AB5">
      <w:pPr>
        <w:spacing w:after="0" w:line="240" w:lineRule="auto"/>
        <w:rPr>
          <w:b/>
        </w:rPr>
      </w:pPr>
      <w:r w:rsidRPr="00D1675B">
        <w:rPr>
          <w:b/>
        </w:rPr>
        <w:t>Entry requirements:</w:t>
      </w:r>
    </w:p>
    <w:p w14:paraId="65D62459" w14:textId="77777777" w:rsidR="00F958CF" w:rsidRPr="00D1675B" w:rsidRDefault="00F958CF" w:rsidP="00B24449">
      <w:r w:rsidRPr="00D1675B">
        <w:t xml:space="preserve">Applicants are required to hold/or expect to obtain a UK Bachelor Degree 2:1 or better in a relevant subject.  </w:t>
      </w:r>
    </w:p>
    <w:p w14:paraId="633D46F1" w14:textId="77777777" w:rsidR="00F958CF" w:rsidRPr="001A22DD" w:rsidRDefault="00F958CF" w:rsidP="000B797E">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40D778DF" w14:textId="77777777" w:rsidR="00F958CF" w:rsidRDefault="00F958CF" w:rsidP="00186CBA">
      <w:pPr>
        <w:ind w:left="1440" w:hanging="1440"/>
        <w:rPr>
          <w:b/>
        </w:rPr>
      </w:pPr>
    </w:p>
    <w:p w14:paraId="2544DD61" w14:textId="77777777" w:rsidR="00F958CF" w:rsidRPr="00D1675B" w:rsidRDefault="00F958CF" w:rsidP="00186CBA">
      <w:pPr>
        <w:ind w:left="1440" w:hanging="1440"/>
        <w:rPr>
          <w:b/>
        </w:rPr>
      </w:pPr>
      <w:r>
        <w:rPr>
          <w:b/>
        </w:rPr>
        <w:t>Application advice:</w:t>
      </w:r>
    </w:p>
    <w:p w14:paraId="6A1BB9BE" w14:textId="77777777" w:rsidR="00FB1969" w:rsidRDefault="00FB1969" w:rsidP="00FB1969">
      <w:pPr>
        <w:rPr>
          <w:b/>
          <w:bCs/>
        </w:rPr>
      </w:pPr>
      <w:r>
        <w:rPr>
          <w:b/>
          <w:bCs/>
        </w:rPr>
        <w:t>To apply</w:t>
      </w:r>
    </w:p>
    <w:p w14:paraId="4F907367" w14:textId="77777777" w:rsidR="00E13844" w:rsidRPr="00E13844" w:rsidRDefault="00E13844" w:rsidP="00E13844">
      <w:pPr>
        <w:shd w:val="clear" w:color="auto" w:fill="FFFFFF"/>
        <w:spacing w:after="0" w:line="240" w:lineRule="auto"/>
      </w:pPr>
      <w:r w:rsidRPr="00E13844">
        <w:t>To apply please refer to our web page for further information and read carefully the How to Apply section before submitting your application</w:t>
      </w:r>
    </w:p>
    <w:p w14:paraId="52EBD0B3" w14:textId="7C943040" w:rsidR="00E13844" w:rsidRPr="00E13844" w:rsidRDefault="00E13844" w:rsidP="00E13844">
      <w:pPr>
        <w:shd w:val="clear" w:color="auto" w:fill="FFFFFF"/>
        <w:spacing w:after="0" w:line="240" w:lineRule="auto"/>
      </w:pPr>
      <w:hyperlink r:id="rId10" w:history="1">
        <w:r w:rsidRPr="00E13844">
          <w:rPr>
            <w:rStyle w:val="Hyperlink"/>
          </w:rPr>
          <w:t>https://le.ac.uk/study/research-degrees/funded-opportunities/centa-phd-studentships</w:t>
        </w:r>
      </w:hyperlink>
    </w:p>
    <w:p w14:paraId="4F4BCF3D" w14:textId="77777777" w:rsidR="00E13844" w:rsidRDefault="00E13844" w:rsidP="00E13844">
      <w:pPr>
        <w:shd w:val="clear" w:color="auto" w:fill="FFFFFF"/>
        <w:spacing w:after="0" w:line="240" w:lineRule="auto"/>
        <w:rPr>
          <w:b/>
          <w:bCs/>
        </w:rPr>
      </w:pPr>
    </w:p>
    <w:p w14:paraId="3226755B" w14:textId="2B615021" w:rsidR="00F958CF" w:rsidRDefault="00F958CF" w:rsidP="00E13844">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CENTA2-SGGE5-WILL</w:t>
      </w:r>
    </w:p>
    <w:p w14:paraId="0870FD74" w14:textId="77777777" w:rsidR="00F958CF" w:rsidRDefault="00F958CF" w:rsidP="00BD3138">
      <w:pPr>
        <w:shd w:val="clear" w:color="auto" w:fill="FFFFFF"/>
        <w:spacing w:after="0" w:line="240" w:lineRule="auto"/>
        <w:rPr>
          <w:rFonts w:eastAsia="Times New Roman" w:cstheme="minorHAnsi"/>
          <w:color w:val="3C3C3C"/>
          <w:shd w:val="clear" w:color="auto" w:fill="FFFFFF"/>
          <w:lang w:eastAsia="en-GB"/>
        </w:rPr>
      </w:pPr>
    </w:p>
    <w:p w14:paraId="71B7F300" w14:textId="77777777" w:rsidR="00F958CF" w:rsidRPr="00E7657A" w:rsidRDefault="00F958CF"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8F2391E" w14:textId="77777777" w:rsidR="00F958CF" w:rsidRPr="00D1675B" w:rsidRDefault="00F958CF" w:rsidP="00186CBA">
      <w:pPr>
        <w:rPr>
          <w:rFonts w:cstheme="minorHAnsi"/>
          <w:color w:val="FF0000"/>
        </w:rPr>
      </w:pPr>
    </w:p>
    <w:p w14:paraId="3F85FFF3" w14:textId="16992891" w:rsidR="00F958CF" w:rsidRPr="00D1675B" w:rsidRDefault="00F958CF"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1" w:history="1">
        <w:r w:rsidRPr="00457114">
          <w:rPr>
            <w:rStyle w:val="Hyperlink"/>
            <w:rFonts w:cstheme="minorHAnsi"/>
            <w:b/>
          </w:rPr>
          <w:t>CENTA@le.ac.uk</w:t>
        </w:r>
      </w:hyperlink>
      <w:r w:rsidRPr="00457114">
        <w:rPr>
          <w:rFonts w:cstheme="minorHAnsi"/>
          <w:b/>
        </w:rPr>
        <w:t xml:space="preserve"> or</w:t>
      </w:r>
      <w:r w:rsidRPr="003F16CA">
        <w:rPr>
          <w:rFonts w:cstheme="minorHAnsi"/>
          <w:b/>
          <w:bCs/>
        </w:rPr>
        <w:t xml:space="preserve"> </w:t>
      </w:r>
      <w:hyperlink r:id="rId12" w:history="1">
        <w:r w:rsidR="003F16CA" w:rsidRPr="003F16CA">
          <w:rPr>
            <w:rStyle w:val="Hyperlink"/>
            <w:b/>
            <w:bCs/>
          </w:rPr>
          <w:t>mri@leicester.ac.uk</w:t>
        </w:r>
      </w:hyperlink>
    </w:p>
    <w:p w14:paraId="12B8F522" w14:textId="77777777" w:rsidR="00F958CF" w:rsidRDefault="00F958CF" w:rsidP="00186CBA">
      <w:pPr>
        <w:rPr>
          <w:b/>
        </w:rPr>
      </w:pPr>
      <w:r w:rsidRPr="00D1675B">
        <w:rPr>
          <w:rFonts w:cstheme="minorHAnsi"/>
          <w:b/>
        </w:rPr>
        <w:lastRenderedPageBreak/>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F958CF" w:rsidRPr="00B90549" w14:paraId="76D1C51A" w14:textId="77777777" w:rsidTr="00B90549">
        <w:trPr>
          <w:tblCellSpacing w:w="0" w:type="dxa"/>
        </w:trPr>
        <w:tc>
          <w:tcPr>
            <w:tcW w:w="0" w:type="auto"/>
            <w:tcMar>
              <w:top w:w="0" w:type="dxa"/>
              <w:left w:w="150" w:type="dxa"/>
              <w:bottom w:w="0" w:type="dxa"/>
              <w:right w:w="0" w:type="dxa"/>
            </w:tcMar>
          </w:tcPr>
          <w:p w14:paraId="5CA0C363" w14:textId="77777777" w:rsidR="00F958CF" w:rsidRPr="00B90549" w:rsidRDefault="00F958CF" w:rsidP="00B90549">
            <w:pPr>
              <w:rPr>
                <w:b/>
              </w:rPr>
            </w:pPr>
          </w:p>
        </w:tc>
        <w:tc>
          <w:tcPr>
            <w:tcW w:w="0" w:type="auto"/>
          </w:tcPr>
          <w:p w14:paraId="1E7482FC" w14:textId="77777777" w:rsidR="00F958CF" w:rsidRPr="00B90549" w:rsidRDefault="00F958CF" w:rsidP="00B90549">
            <w:pPr>
              <w:rPr>
                <w:b/>
              </w:rPr>
            </w:pPr>
          </w:p>
        </w:tc>
      </w:tr>
    </w:tbl>
    <w:p w14:paraId="68836231" w14:textId="77777777" w:rsidR="00F958CF" w:rsidRDefault="00F958CF" w:rsidP="00186CBA">
      <w:pPr>
        <w:rPr>
          <w:b/>
        </w:rPr>
        <w:sectPr w:rsidR="00F958CF" w:rsidSect="00F958CF">
          <w:pgSz w:w="11906" w:h="16838"/>
          <w:pgMar w:top="1440" w:right="1440" w:bottom="1440" w:left="1440" w:header="708" w:footer="708" w:gutter="0"/>
          <w:pgNumType w:start="1"/>
          <w:cols w:space="708"/>
          <w:docGrid w:linePitch="360"/>
        </w:sectPr>
      </w:pPr>
    </w:p>
    <w:p w14:paraId="135AD36F" w14:textId="77777777" w:rsidR="00F958CF" w:rsidRPr="00D1675B" w:rsidRDefault="00F958CF" w:rsidP="00186CBA">
      <w:pPr>
        <w:rPr>
          <w:b/>
        </w:rPr>
      </w:pPr>
    </w:p>
    <w:sectPr w:rsidR="00F958CF" w:rsidRPr="00D1675B" w:rsidSect="00F958C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A240E"/>
    <w:multiLevelType w:val="multilevel"/>
    <w:tmpl w:val="E8CC6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2"/>
  </w:num>
  <w:num w:numId="6">
    <w:abstractNumId w:val="8"/>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30074"/>
    <w:rsid w:val="003A7DE6"/>
    <w:rsid w:val="003E3E31"/>
    <w:rsid w:val="003F16CA"/>
    <w:rsid w:val="00414D13"/>
    <w:rsid w:val="00457114"/>
    <w:rsid w:val="004C2F09"/>
    <w:rsid w:val="005F7F9C"/>
    <w:rsid w:val="00686A5A"/>
    <w:rsid w:val="00704D43"/>
    <w:rsid w:val="00797C94"/>
    <w:rsid w:val="008862CC"/>
    <w:rsid w:val="0089276A"/>
    <w:rsid w:val="008B235E"/>
    <w:rsid w:val="00934C02"/>
    <w:rsid w:val="00A5584E"/>
    <w:rsid w:val="00B24449"/>
    <w:rsid w:val="00B90549"/>
    <w:rsid w:val="00BB2974"/>
    <w:rsid w:val="00BD3138"/>
    <w:rsid w:val="00D1675B"/>
    <w:rsid w:val="00DC7AB5"/>
    <w:rsid w:val="00E13844"/>
    <w:rsid w:val="00E7657A"/>
    <w:rsid w:val="00F958CF"/>
    <w:rsid w:val="00FB1969"/>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09F7"/>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paragraph" w:styleId="Bibliography">
    <w:name w:val="Bibliography"/>
    <w:basedOn w:val="Normal"/>
    <w:next w:val="Normal"/>
    <w:uiPriority w:val="37"/>
    <w:semiHidden/>
    <w:unhideWhenUsed/>
    <w:rsid w:val="003F16CA"/>
  </w:style>
  <w:style w:type="paragraph" w:styleId="Header">
    <w:name w:val="header"/>
    <w:basedOn w:val="Normal"/>
    <w:link w:val="HeaderChar"/>
    <w:uiPriority w:val="99"/>
    <w:unhideWhenUsed/>
    <w:rsid w:val="003F16CA"/>
    <w:pPr>
      <w:tabs>
        <w:tab w:val="center" w:pos="4513"/>
        <w:tab w:val="right" w:pos="9026"/>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3F16CA"/>
    <w:rPr>
      <w:rFonts w:ascii="Calibri" w:eastAsia="Calibri" w:hAnsi="Calibri" w:cs="Calibri"/>
      <w:lang w:eastAsia="en-GB"/>
    </w:rPr>
  </w:style>
  <w:style w:type="character" w:styleId="UnresolvedMention">
    <w:name w:val="Unresolved Mention"/>
    <w:basedOn w:val="DefaultParagraphFont"/>
    <w:uiPriority w:val="99"/>
    <w:semiHidden/>
    <w:unhideWhenUsed/>
    <w:rsid w:val="00E1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901672352">
      <w:bodyDiv w:val="1"/>
      <w:marLeft w:val="0"/>
      <w:marRight w:val="0"/>
      <w:marTop w:val="0"/>
      <w:marBottom w:val="0"/>
      <w:divBdr>
        <w:top w:val="none" w:sz="0" w:space="0" w:color="auto"/>
        <w:left w:val="none" w:sz="0" w:space="0" w:color="auto"/>
        <w:bottom w:val="none" w:sz="0" w:space="0" w:color="auto"/>
        <w:right w:val="none" w:sz="0" w:space="0" w:color="auto"/>
      </w:divBdr>
    </w:div>
    <w:div w:id="1439182557">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oclim.org/"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ri@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i@leicester.ac.uk"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2023-10-19T13:46:00Z</dcterms:modified>
</cp:coreProperties>
</file>