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6DBF" w14:textId="77777777" w:rsidR="00092CF5" w:rsidRDefault="00092CF5" w:rsidP="00092CF5">
      <w:pPr>
        <w:rPr>
          <w:b/>
        </w:rPr>
      </w:pPr>
      <w:r>
        <w:rPr>
          <w:b/>
        </w:rPr>
        <w:t>University of Leicester PhD studentship</w:t>
      </w:r>
    </w:p>
    <w:p w14:paraId="6121E7E4" w14:textId="77777777" w:rsidR="00092CF5" w:rsidRDefault="00092CF5" w:rsidP="00092CF5">
      <w:pPr>
        <w:rPr>
          <w:b/>
        </w:rPr>
      </w:pPr>
      <w:r>
        <w:rPr>
          <w:b/>
        </w:rPr>
        <w:t xml:space="preserve">Funding Source: </w:t>
      </w:r>
      <w:r>
        <w:t>CENTA DTP</w:t>
      </w:r>
    </w:p>
    <w:p w14:paraId="6CC9F5CF" w14:textId="77777777" w:rsidR="00092CF5" w:rsidRDefault="00092CF5" w:rsidP="00092CF5">
      <w:pPr>
        <w:rPr>
          <w:b/>
        </w:rPr>
      </w:pPr>
      <w:r>
        <w:rPr>
          <w:b/>
        </w:rPr>
        <w:t xml:space="preserve">Proposed start date: </w:t>
      </w:r>
      <w:r>
        <w:t>23</w:t>
      </w:r>
      <w:r>
        <w:rPr>
          <w:vertAlign w:val="superscript"/>
        </w:rPr>
        <w:t xml:space="preserve">rd </w:t>
      </w:r>
      <w:r>
        <w:t>September 2024</w:t>
      </w:r>
    </w:p>
    <w:p w14:paraId="1AE7FA31" w14:textId="75ED8139" w:rsidR="00092CF5" w:rsidRDefault="00092CF5" w:rsidP="00092CF5">
      <w:pPr>
        <w:rPr>
          <w:b/>
          <w:color w:val="FF0000"/>
        </w:rPr>
      </w:pPr>
      <w:r>
        <w:rPr>
          <w:b/>
        </w:rPr>
        <w:t xml:space="preserve">Closing date for applications: </w:t>
      </w:r>
      <w:r w:rsidR="00B57EDD" w:rsidRPr="00B57EDD">
        <w:t>See our web page</w:t>
      </w:r>
    </w:p>
    <w:p w14:paraId="5075E42B" w14:textId="77777777" w:rsidR="00092CF5" w:rsidRDefault="00092CF5" w:rsidP="00092CF5">
      <w:pPr>
        <w:ind w:left="1440" w:hanging="1440"/>
        <w:rPr>
          <w:rStyle w:val="Hyperlink"/>
          <w:color w:val="auto"/>
          <w:u w:val="none"/>
        </w:rPr>
      </w:pPr>
      <w:r>
        <w:rPr>
          <w:rStyle w:val="Hyperlink"/>
          <w:b/>
          <w:color w:val="auto"/>
          <w:u w:val="none"/>
        </w:rPr>
        <w:t xml:space="preserve">Eligibility: </w:t>
      </w:r>
      <w:r>
        <w:rPr>
          <w:rStyle w:val="Hyperlink"/>
          <w:color w:val="auto"/>
          <w:u w:val="none"/>
        </w:rPr>
        <w:t>UK/International</w:t>
      </w:r>
    </w:p>
    <w:p w14:paraId="36CF3DAC" w14:textId="77777777" w:rsidR="00AD34D7" w:rsidRDefault="00AD34D7" w:rsidP="00B90549">
      <w:r w:rsidRPr="0089276A">
        <w:rPr>
          <w:b/>
        </w:rPr>
        <w:t>Department/School:</w:t>
      </w:r>
      <w:r w:rsidRPr="0089276A">
        <w:t xml:space="preserve">  </w:t>
      </w:r>
      <w:r>
        <w:rPr>
          <w:noProof/>
        </w:rPr>
        <w:t>Genetics</w:t>
      </w:r>
    </w:p>
    <w:p w14:paraId="5D0AE1EA" w14:textId="77777777" w:rsidR="00F14E76" w:rsidRPr="003201EE" w:rsidRDefault="00AD34D7" w:rsidP="00F14E76">
      <w:pPr>
        <w:rPr>
          <w:b/>
        </w:rPr>
      </w:pPr>
      <w:r w:rsidRPr="0089276A">
        <w:rPr>
          <w:b/>
        </w:rPr>
        <w:t>Supervisors:</w:t>
      </w:r>
      <w:r w:rsidRPr="0089276A">
        <w:tab/>
      </w:r>
      <w:r w:rsidR="00F14E76" w:rsidRPr="003201EE">
        <w:rPr>
          <w:b/>
        </w:rPr>
        <w:t>PI:</w:t>
      </w:r>
      <w:r w:rsidR="00F14E76">
        <w:rPr>
          <w:b/>
        </w:rPr>
        <w:t xml:space="preserve"> </w:t>
      </w:r>
      <w:r w:rsidR="00F14E76" w:rsidRPr="00F14E76">
        <w:rPr>
          <w:bCs/>
        </w:rPr>
        <w:t xml:space="preserve">Dr Robert Hammond, </w:t>
      </w:r>
      <w:hyperlink r:id="rId6" w:history="1">
        <w:r w:rsidR="00F14E76" w:rsidRPr="00F14E76">
          <w:rPr>
            <w:rStyle w:val="Hyperlink"/>
            <w:bCs/>
          </w:rPr>
          <w:t>rh225@le.ac.uk</w:t>
        </w:r>
      </w:hyperlink>
      <w:r w:rsidR="00F14E76" w:rsidRPr="00F14E76">
        <w:rPr>
          <w:bCs/>
        </w:rPr>
        <w:t>, University of Leicester</w:t>
      </w:r>
    </w:p>
    <w:p w14:paraId="33843497" w14:textId="77777777" w:rsidR="00F14E76" w:rsidRDefault="00F14E76" w:rsidP="00F14E76">
      <w:pPr>
        <w:ind w:left="1440"/>
        <w:rPr>
          <w:b/>
        </w:rPr>
      </w:pPr>
      <w:r w:rsidRPr="003201EE">
        <w:rPr>
          <w:b/>
        </w:rPr>
        <w:t xml:space="preserve">Co-I: </w:t>
      </w:r>
      <w:r w:rsidRPr="00F14E76">
        <w:rPr>
          <w:bCs/>
        </w:rPr>
        <w:t>Dr Fabian Freund (modelling, UoL), Dr Nick Tate (GIS, UoL)</w:t>
      </w:r>
    </w:p>
    <w:p w14:paraId="7CDE6DE3" w14:textId="0E176B83" w:rsidR="00AD34D7" w:rsidRPr="0089276A" w:rsidRDefault="00AD34D7" w:rsidP="00F14E76">
      <w:pPr>
        <w:ind w:left="1440" w:hanging="1440"/>
        <w:rPr>
          <w:b/>
        </w:rPr>
      </w:pPr>
      <w:r w:rsidRPr="0089276A">
        <w:rPr>
          <w:b/>
        </w:rPr>
        <w:t xml:space="preserve">Project Title: </w:t>
      </w:r>
      <w:r w:rsidRPr="0089276A">
        <w:rPr>
          <w:b/>
        </w:rPr>
        <w:tab/>
      </w:r>
      <w:r>
        <w:rPr>
          <w:noProof/>
        </w:rPr>
        <w:t>Understanding the extinction vortex: inbreeding in haplodiploids</w:t>
      </w:r>
      <w:r w:rsidRPr="001E178F">
        <w:t>.</w:t>
      </w:r>
    </w:p>
    <w:p w14:paraId="7C2A8D2E" w14:textId="77777777" w:rsidR="00AD34D7" w:rsidRPr="0089276A" w:rsidRDefault="00AD34D7" w:rsidP="00186CBA">
      <w:pPr>
        <w:ind w:left="1440" w:hanging="1440"/>
        <w:rPr>
          <w:bCs/>
        </w:rPr>
      </w:pPr>
    </w:p>
    <w:p w14:paraId="07771753" w14:textId="77D2BB45" w:rsidR="00AD34D7" w:rsidRPr="0089276A" w:rsidRDefault="00AD34D7" w:rsidP="00186CBA">
      <w:pPr>
        <w:ind w:left="1440" w:hanging="1440"/>
        <w:rPr>
          <w:b/>
          <w:bCs/>
        </w:rPr>
      </w:pPr>
      <w:r w:rsidRPr="0089276A">
        <w:rPr>
          <w:b/>
          <w:bCs/>
        </w:rPr>
        <w:t>Project Description :</w:t>
      </w:r>
    </w:p>
    <w:p w14:paraId="5999A74B" w14:textId="77777777" w:rsidR="00F14E76" w:rsidRDefault="00F14E76" w:rsidP="00DC7AB5">
      <w:pPr>
        <w:pStyle w:val="NoSpacing"/>
        <w:rPr>
          <w:b/>
          <w:bCs/>
        </w:rPr>
      </w:pPr>
    </w:p>
    <w:p w14:paraId="13E4C045" w14:textId="77777777" w:rsidR="00F14E76" w:rsidRDefault="00F14E76" w:rsidP="00F14E76">
      <w:pPr>
        <w:rPr>
          <w:b/>
        </w:rPr>
      </w:pPr>
      <w:r w:rsidRPr="005C65A1">
        <w:rPr>
          <w:b/>
        </w:rPr>
        <w:t xml:space="preserve">Project Highlights: </w:t>
      </w:r>
    </w:p>
    <w:p w14:paraId="49B0DE06" w14:textId="77777777" w:rsidR="00F14E76" w:rsidRPr="00F14E76" w:rsidRDefault="00F14E76" w:rsidP="00F14E76">
      <w:pPr>
        <w:pStyle w:val="ListParagraph"/>
        <w:numPr>
          <w:ilvl w:val="0"/>
          <w:numId w:val="10"/>
        </w:numPr>
        <w:rPr>
          <w:bCs/>
          <w:color w:val="000000" w:themeColor="text1"/>
        </w:rPr>
      </w:pPr>
      <w:r w:rsidRPr="00F14E76">
        <w:rPr>
          <w:rFonts w:eastAsia="Times New Roman" w:cstheme="minorHAnsi"/>
          <w:bCs/>
        </w:rPr>
        <w:t>Your research will be high impact science geared towards the conservation of the 20% of animal species that are haplodiploid - including essential pollinators and seed dispersers.</w:t>
      </w:r>
      <w:r w:rsidRPr="00F14E76">
        <w:rPr>
          <w:bCs/>
          <w:color w:val="000000" w:themeColor="text1"/>
        </w:rPr>
        <w:t xml:space="preserve"> </w:t>
      </w:r>
    </w:p>
    <w:p w14:paraId="2142668C" w14:textId="77777777" w:rsidR="00F14E76" w:rsidRPr="00F14E76" w:rsidRDefault="00F14E76" w:rsidP="00F14E76">
      <w:pPr>
        <w:pStyle w:val="ListParagraph"/>
        <w:numPr>
          <w:ilvl w:val="0"/>
          <w:numId w:val="10"/>
        </w:numPr>
        <w:rPr>
          <w:bCs/>
          <w:color w:val="000000" w:themeColor="text1"/>
        </w:rPr>
      </w:pPr>
      <w:r w:rsidRPr="00F14E76">
        <w:rPr>
          <w:bCs/>
          <w:color w:val="000000" w:themeColor="text1"/>
        </w:rPr>
        <w:t>You will receive interdisciplinary training and gain experience in a wide variety of sought-after techniques and approaches (e.g. mathematical modelling, GIS and genomics).</w:t>
      </w:r>
    </w:p>
    <w:p w14:paraId="0B64BE96" w14:textId="77777777" w:rsidR="00F14E76" w:rsidRPr="00F14E76" w:rsidRDefault="00F14E76" w:rsidP="00F14E76">
      <w:pPr>
        <w:pStyle w:val="ListParagraph"/>
        <w:numPr>
          <w:ilvl w:val="0"/>
          <w:numId w:val="10"/>
        </w:numPr>
        <w:rPr>
          <w:bCs/>
          <w:color w:val="000000" w:themeColor="text1"/>
        </w:rPr>
      </w:pPr>
      <w:r w:rsidRPr="00F14E76">
        <w:rPr>
          <w:bCs/>
          <w:color w:val="000000" w:themeColor="text1"/>
        </w:rPr>
        <w:t>You will engage in field work in Spain and present your work in national and international conferences.</w:t>
      </w:r>
    </w:p>
    <w:p w14:paraId="32F03D09" w14:textId="5537BCA3" w:rsidR="00F14E76" w:rsidRDefault="00F14E76" w:rsidP="00F14E76">
      <w:r w:rsidRPr="002E3DA0">
        <w:rPr>
          <w:b/>
        </w:rPr>
        <w:t>Overview</w:t>
      </w:r>
      <w:r>
        <w:rPr>
          <w:b/>
        </w:rPr>
        <w:t>:</w:t>
      </w:r>
      <w:r>
        <w:t xml:space="preserve"> </w:t>
      </w:r>
    </w:p>
    <w:p w14:paraId="4562531E" w14:textId="77777777" w:rsidR="00F14E76" w:rsidRDefault="00F14E76" w:rsidP="00F14E76">
      <w:r>
        <w:t xml:space="preserve">Around 20% of all animals - including all the bees, wasps and ants that are important pollinators and seed dispersers - are haplodiploid </w:t>
      </w:r>
      <w:r>
        <w:fldChar w:fldCharType="begin"/>
      </w:r>
      <w:r>
        <w:instrText xml:space="preserve"> ADDIN ZOTERO_ITEM CSL_CITATION {"citationID":"Zf9AwhX4","properties":{"formattedCitation":"(Heimpel and de Boer, 2008)","plainCitation":"(Heimpel and de Boer, 2008)","noteIndex":0},"citationItems":[{"id":1072,"uris":["http://zotero.org/users/local/ggsS3y2o/items/6WL2TG8C"],"itemData":{"id":1072,"type":"article-journal","container-title":"Annual Review of Entomology","DOI":"10.1146/annurev.ento.53.103106.093441","ISSN":"0066-4170","page":"209-230","title":"Sex determination in the Hymenoptera","volume":"53","author":[{"family":"Heimpel","given":"G. E."},{"family":"Boer","given":"J. G.","non-dropping-particle":"de"}],"issued":{"date-parts":[["2008"]]}}}],"schema":"https://github.com/citation-style-language/schema/raw/master/csl-citation.json"} </w:instrText>
      </w:r>
      <w:r>
        <w:fldChar w:fldCharType="separate"/>
      </w:r>
      <w:r w:rsidRPr="001415B3">
        <w:rPr>
          <w:rFonts w:ascii="Calibri" w:hAnsi="Calibri" w:cs="Calibri"/>
        </w:rPr>
        <w:t>(Heimpel and de Boer, 2008)</w:t>
      </w:r>
      <w:r>
        <w:fldChar w:fldCharType="end"/>
      </w:r>
      <w:r>
        <w:t>. That is, females are diploid and males are haploid. However, the mechanism underlying haplodiploidy, known as complementary sex determination (</w:t>
      </w:r>
      <w:proofErr w:type="spellStart"/>
      <w:r w:rsidRPr="001E5849">
        <w:rPr>
          <w:i/>
        </w:rPr>
        <w:t>csd</w:t>
      </w:r>
      <w:proofErr w:type="spellEnd"/>
      <w:r>
        <w:t xml:space="preserve">), means that low genetic variation and/or inbreeding can detrimentally reduce reproduction </w:t>
      </w:r>
      <w:r>
        <w:fldChar w:fldCharType="begin"/>
      </w:r>
      <w:r>
        <w:instrText xml:space="preserve"> ADDIN ZOTERO_ITEM CSL_CITATION {"citationID":"CQLAbTSS","properties":{"formattedCitation":"(Zayed and Packer, 2005)","plainCitation":"(Zayed and Packer, 2005)","noteIndex":0},"citationItems":[{"id":2716,"uris":["http://zotero.org/users/local/ggsS3y2o/items/I38W236M"],"itemData":{"id":2716,"type":"article-journal","abstract":"The role of genetic factors in extinction is firmly established for diploid organisms, but haplodiploids have been considered immune to genetic load impacts because deleterious alleles are readily purged in haploid males. However, we show that single-locus complementary sex determination ancestral to the haplodiploid Hymenoptera (ants, bees, and wasps) imposes a substantial genetic load through homozygosity at the sex locus that results in the production of inviable or sterile diploid males. Using stochastic modeling, we have discovered that diploid male production (DMP) can initiate a rapid and previously uncharacterized extinction vortex. The extinction rate in haplodiploid populations with DMP is an order of magnitude greater than in its absence under realistic but conservative demographic parameter values. Furthermore, DMP alone can elevate the base extinction risk in haplodiploids by over an order of magnitude higher than that caused by inbreeding depression in threatened diploids. Thus, contrary to previous expectations, haplodiploids are more, rather than less, prone to extinction for genetic reasons. Our findings necessitate a fundamental shift in approaches to the conservation and population biology of these ecologically and economically crucial insects.","container-title":"Proceedings of the National Academy of Sciences of the United States of America","DOI":"10.1073/pnas.0502271102","ISSN":"0027-8424","issue":"30","language":"English","page":"10742-10746","title":"Complementary sex determination substantially increases extinction proneness of haplodiploid populations","volume":"102","author":[{"family":"Zayed","given":"A."},{"family":"Packer","given":"L."}],"issued":{"date-parts":[["2005",7]]}}}],"schema":"https://github.com/citation-style-language/schema/raw/master/csl-citation.json"} </w:instrText>
      </w:r>
      <w:r>
        <w:fldChar w:fldCharType="separate"/>
      </w:r>
      <w:r w:rsidRPr="001415B3">
        <w:rPr>
          <w:rFonts w:ascii="Calibri" w:hAnsi="Calibri" w:cs="Calibri"/>
        </w:rPr>
        <w:t>(Zayed and Packer, 2005)</w:t>
      </w:r>
      <w:r>
        <w:fldChar w:fldCharType="end"/>
      </w:r>
      <w:r>
        <w:t xml:space="preserve">. This is because diploid offspring erroneously develop as males rather than females </w:t>
      </w:r>
      <w:r>
        <w:fldChar w:fldCharType="begin"/>
      </w:r>
      <w:r>
        <w:instrText xml:space="preserve"> ADDIN ZOTERO_ITEM CSL_CITATION {"citationID":"1DluEWgY","properties":{"formattedCitation":"(Harpur et al., 2013)","plainCitation":"(Harpur et al., 2013)","noteIndex":0},"citationItems":[{"id":1021,"uris":["http://zotero.org/users/local/ggsS3y2o/items/EKLQP3VF"],"itemData":{"id":1021,"type":"article-journal","abstract":"Complementary sex determination is the ancestral sex-determination mechanism in the Hymenoptera. Under this system, diploid individuals develop into females if they are heterozygous at an autosomal sex-determining locus or loci, whereas haploid individuals develop into males because they are hemizygous at the sex-determining locus or loci. However, diploid males can still arise from fertilized eggs if such individuals are homozygous at the sex-determining locus or loci. Diploid males are often viable but sire few daughters, thereby representing a substantial genetic load in hymenopteran populations. Here, we review the effects of complementary sex determination and diploid male production from the perspective of female hymenopterans. Because female hymenopterans need not mate to produce haploid sons, complementary sex determination can cause special forms of mating failures by preventing some females from controlling the sex ratio of their brood and producing the desired number of daughters. Under some circumstances, complementary sex determination can cause complete mating failure by preventing females from producing daughters altogether. Although we outline serious gaps of knowledge in the field, the data at hand suggest that diploid male production can substantially increase mating failures in small populations of economically and ecologically important hymenopterans.","container-title":"Entomologia Experimentalis Et Applicata","DOI":"10.1111/j.1570-7458.2012.01306.x","ISSN":"0013-8703","issue":"1","language":"English","page":"156-164","title":"A review of the consequences of complementary sex determination and diploid male production on mating failures in the Hymenoptera","volume":"146","author":[{"family":"Harpur","given":"B. A."},{"family":"Sobhani","given":"M."},{"family":"Zayed","given":"A."}],"issued":{"date-parts":[["2013",1]]}}}],"schema":"https://github.com/citation-style-language/schema/raw/master/csl-citation.json"} </w:instrText>
      </w:r>
      <w:r>
        <w:fldChar w:fldCharType="separate"/>
      </w:r>
      <w:r w:rsidRPr="001415B3">
        <w:rPr>
          <w:rFonts w:ascii="Calibri" w:hAnsi="Calibri" w:cs="Calibri"/>
        </w:rPr>
        <w:t>(Harpur et al., 2013)</w:t>
      </w:r>
      <w:r>
        <w:fldChar w:fldCharType="end"/>
      </w:r>
      <w:r>
        <w:t xml:space="preserve">. Such reduced reproduction lowers population size further, exacerbating the effects in a feedback loop: </w:t>
      </w:r>
      <w:r w:rsidRPr="002F1445">
        <w:rPr>
          <w:b/>
          <w:i/>
        </w:rPr>
        <w:t>the extinction vortex</w:t>
      </w:r>
      <w:r>
        <w:rPr>
          <w:b/>
          <w:i/>
        </w:rPr>
        <w:t xml:space="preserve"> </w:t>
      </w:r>
      <w:r w:rsidRPr="00403A93">
        <w:t>(Figure 1A)</w:t>
      </w:r>
      <w:r>
        <w:t xml:space="preserve">. Given human induced habitat degradation and climate change, insect populations – including many of those with haplo-diploid sex determination - are declining and fragmenting </w:t>
      </w:r>
      <w:r>
        <w:fldChar w:fldCharType="begin"/>
      </w:r>
      <w:r>
        <w:instrText xml:space="preserve"> ADDIN ZOTERO_ITEM CSL_CITATION {"citationID":"YLdYr1AQ","properties":{"formattedCitation":"(Sanchez-Bayo and Wyckhuys, 2019)","plainCitation":"(Sanchez-Bayo and Wyckhuys, 2019)","noteIndex":0},"citationItems":[{"id":3068,"uris":["http://zotero.org/users/local/ggsS3y2o/items/PGNTKHUD"],"itemData":{"id":3068,"type":"article-journal","abstract":"Biodiversity of insects is threatened worldwide. Here, we present a comprehensive review of 73 historical reports of insect declines from across the globe, and systematically assess the underlying drivers. Our work reveals dramatic rates of decline that may lead to the extinction of 40% of the world's insect species over the next few decades. In terrestrial ecosystems, Lepidoptera, Hymenoptera and dung beetles (Coleoptera) appear to be the taxa most affected, whereas four major aquatic taxa (Odonata, Plecoptera, Trichoptera and Ephemeroptera) have already lost a considerable proportion of species. Affected insect groups not only include specialists that occupy particular ecological niches, but also many common and generalist species. Concurrently, the abundance of a small number of species is increasing; these are all adaptable, generalist species that are occupying the vacant niches left by the ones declining. Among aquatic insects, habitat and dietary generalists, and pollutant-tolerant species are replacing the large biodiversity losses experienced in waters within agricultural and urban settings. The main drivers of species declines appear to be in order of importance: i) habitat loss and conversion to intensive agriculture and urbanisation; ii) pollution, mainly that by synthetic pesticides and fertilisers; iii) biological factors, including pathogens and introduced species; and iv) climate change. The latter factor is particularly important in tropical regions, but only affects a minority of species in colder climes and mountain settings of temperate zones. A rethinking of current agricultural practices, in particular a serious reduction in pesticide usage and its substitution with more sustainable, ecologically-based practices, is urgently needed to slow or reverse current trends, allow the recovery of declining insect populations and safeguard the vital ecosystem services they provide. In addition, effective remediation technologies should be applied to clean polluted waters in both agricultural and urban environments.","container-title":"Biological Conservation","DOI":"10.1016/j.biocon.2019.01.020","ISSN":"0006-3207","journalAbbreviation":"Biol. Conserv.","language":"English","note":"publisher-place: Oxford\npublisher: Elsevier Sci Ltd\nWOS:000460992700002","page":"8-27","source":"Web of Science Nextgen","title":"Worldwide decline of the entomofauna: A review of its drivers","title-short":"Worldwide decline of the entomofauna","volume":"232","author":[{"family":"Sanchez-Bayo","given":"Francisco"},{"family":"Wyckhuys","given":"Kris A. G."}],"issued":{"date-parts":[["2019",4]]}}}],"schema":"https://github.com/citation-style-language/schema/raw/master/csl-citation.json"} </w:instrText>
      </w:r>
      <w:r>
        <w:fldChar w:fldCharType="separate"/>
      </w:r>
      <w:r w:rsidRPr="005D3BB9">
        <w:rPr>
          <w:rFonts w:ascii="Calibri" w:hAnsi="Calibri" w:cs="Calibri"/>
        </w:rPr>
        <w:t>(Sanchez-Bayo and Wyckhuys, 2019)</w:t>
      </w:r>
      <w:r>
        <w:fldChar w:fldCharType="end"/>
      </w:r>
      <w:r>
        <w:t xml:space="preserve">. </w:t>
      </w:r>
      <w:r w:rsidRPr="00C501C8">
        <w:t>Understanding the extinction vortex is therefore a priority.</w:t>
      </w:r>
      <w:r>
        <w:t xml:space="preserve"> </w:t>
      </w:r>
    </w:p>
    <w:p w14:paraId="681B7F5C" w14:textId="77777777" w:rsidR="00F14E76" w:rsidRDefault="00F14E76" w:rsidP="00F14E76">
      <w:r>
        <w:rPr>
          <w:noProof/>
          <w:lang w:eastAsia="en-GB"/>
        </w:rPr>
        <w:lastRenderedPageBreak/>
        <mc:AlternateContent>
          <mc:Choice Requires="wps">
            <w:drawing>
              <wp:anchor distT="0" distB="0" distL="114300" distR="114300" simplePos="0" relativeHeight="251659264" behindDoc="0" locked="0" layoutInCell="1" allowOverlap="1" wp14:anchorId="1D7D83B9" wp14:editId="73331D3B">
                <wp:simplePos x="0" y="0"/>
                <wp:positionH relativeFrom="column">
                  <wp:posOffset>4667250</wp:posOffset>
                </wp:positionH>
                <wp:positionV relativeFrom="paragraph">
                  <wp:posOffset>377825</wp:posOffset>
                </wp:positionV>
                <wp:extent cx="190500" cy="161925"/>
                <wp:effectExtent l="19050" t="0" r="19050" b="47625"/>
                <wp:wrapNone/>
                <wp:docPr id="5" name="Arrow: Down 5"/>
                <wp:cNvGraphicFramePr/>
                <a:graphic xmlns:a="http://schemas.openxmlformats.org/drawingml/2006/main">
                  <a:graphicData uri="http://schemas.microsoft.com/office/word/2010/wordprocessingShape">
                    <wps:wsp>
                      <wps:cNvSpPr/>
                      <wps:spPr>
                        <a:xfrm>
                          <a:off x="0" y="0"/>
                          <a:ext cx="190500" cy="161925"/>
                        </a:xfrm>
                        <a:prstGeom prst="down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7278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367.5pt;margin-top:29.75pt;width:1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" adj="10800" fillcolor="yellow" strokecolor="yellow" strokeweight="1pt"/>
            </w:pict>
          </mc:Fallback>
        </mc:AlternateContent>
      </w:r>
      <w:r>
        <w:rPr>
          <w:noProof/>
          <w:lang w:eastAsia="en-GB"/>
        </w:rPr>
        <w:drawing>
          <wp:inline distT="0" distB="0" distL="0" distR="0" wp14:anchorId="0AF55626" wp14:editId="00F6B112">
            <wp:extent cx="5731510" cy="1868306"/>
            <wp:effectExtent l="0" t="0" r="2540" b="0"/>
            <wp:docPr id="12" name="Picture 12" descr="Three part image. A, Diagram showing the extinction vortex precipitated by diploid male production. B, Relief map of Iberian Peninsula. C, A colony of ants of the species Leptothorax acerv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ree part image. A, Diagram showing the extinction vortex precipitated by diploid male production. B, Relief map of Iberian Peninsula. C, A colony of ants of the species Leptothorax acervor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868306"/>
                    </a:xfrm>
                    <a:prstGeom prst="rect">
                      <a:avLst/>
                    </a:prstGeom>
                    <a:noFill/>
                  </pic:spPr>
                </pic:pic>
              </a:graphicData>
            </a:graphic>
          </wp:inline>
        </w:drawing>
      </w:r>
    </w:p>
    <w:p w14:paraId="01F1E7FC" w14:textId="77777777" w:rsidR="00F14E76" w:rsidRDefault="00F14E76" w:rsidP="00F14E76">
      <w:pPr>
        <w:ind w:left="567" w:hanging="567"/>
        <w:rPr>
          <w:i/>
          <w:sz w:val="20"/>
          <w:szCs w:val="20"/>
        </w:rPr>
      </w:pPr>
      <w:r w:rsidRPr="008475D2">
        <w:rPr>
          <w:i/>
          <w:sz w:val="20"/>
          <w:szCs w:val="20"/>
        </w:rPr>
        <w:t xml:space="preserve">Figure 1: </w:t>
      </w:r>
      <w:r>
        <w:rPr>
          <w:i/>
          <w:sz w:val="20"/>
          <w:szCs w:val="20"/>
        </w:rPr>
        <w:t xml:space="preserve">A: Extinction vortex caused by diploid male production </w:t>
      </w:r>
      <w:r>
        <w:rPr>
          <w:i/>
          <w:sz w:val="20"/>
          <w:szCs w:val="20"/>
        </w:rPr>
        <w:fldChar w:fldCharType="begin"/>
      </w:r>
      <w:r>
        <w:rPr>
          <w:i/>
          <w:sz w:val="20"/>
          <w:szCs w:val="20"/>
        </w:rPr>
        <w:instrText xml:space="preserve"> ADDIN ZOTERO_ITEM CSL_CITATION {"citationID":"c9vw6PGi","properties":{"formattedCitation":"(Zayed and Packer, 2005)","plainCitation":"(Zayed and Packer, 2005)","noteIndex":0},"citationItems":[{"id":2716,"uris":["http://zotero.org/users/local/ggsS3y2o/items/I38W236M"],"itemData":{"id":2716,"type":"article-journal","abstract":"The role of genetic factors in extinction is firmly established for diploid organisms, but haplodiploids have been considered immune to genetic load impacts because deleterious alleles are readily purged in haploid males. However, we show that single-locus complementary sex determination ancestral to the haplodiploid Hymenoptera (ants, bees, and wasps) imposes a substantial genetic load through homozygosity at the sex locus that results in the production of inviable or sterile diploid males. Using stochastic modeling, we have discovered that diploid male production (DMP) can initiate a rapid and previously uncharacterized extinction vortex. The extinction rate in haplodiploid populations with DMP is an order of magnitude greater than in its absence under realistic but conservative demographic parameter values. Furthermore, DMP alone can elevate the base extinction risk in haplodiploids by over an order of magnitude higher than that caused by inbreeding depression in threatened diploids. Thus, contrary to previous expectations, haplodiploids are more, rather than less, prone to extinction for genetic reasons. Our findings necessitate a fundamental shift in approaches to the conservation and population biology of these ecologically and economically crucial insects.","container-title":"Proceedings of the National Academy of Sciences of the United States of America","DOI":"10.1073/pnas.0502271102","ISSN":"0027-8424","issue":"30","language":"English","page":"10742-10746","title":"Complementary sex determination substantially increases extinction proneness of haplodiploid populations","volume":"102","author":[{"family":"Zayed","given":"A."},{"family":"Packer","given":"L."}],"issued":{"date-parts":[["2005",7]]}}}],"schema":"https://github.com/citation-style-language/schema/raw/master/csl-citation.json"} </w:instrText>
      </w:r>
      <w:r>
        <w:rPr>
          <w:i/>
          <w:sz w:val="20"/>
          <w:szCs w:val="20"/>
        </w:rPr>
        <w:fldChar w:fldCharType="separate"/>
      </w:r>
      <w:r w:rsidRPr="00403A93">
        <w:rPr>
          <w:rFonts w:ascii="Calibri" w:hAnsi="Calibri" w:cs="Calibri"/>
          <w:sz w:val="20"/>
        </w:rPr>
        <w:t>(Zayed and Packer, 2005)</w:t>
      </w:r>
      <w:r>
        <w:rPr>
          <w:i/>
          <w:sz w:val="20"/>
          <w:szCs w:val="20"/>
        </w:rPr>
        <w:fldChar w:fldCharType="end"/>
      </w:r>
      <w:r>
        <w:rPr>
          <w:i/>
          <w:sz w:val="20"/>
          <w:szCs w:val="20"/>
        </w:rPr>
        <w:t xml:space="preserve">; B: relief map of the Iberian Peninsula, darker shading shows higher altitudes; C: </w:t>
      </w:r>
      <w:proofErr w:type="spellStart"/>
      <w:r>
        <w:rPr>
          <w:i/>
          <w:sz w:val="20"/>
          <w:szCs w:val="20"/>
        </w:rPr>
        <w:t>Leptothorax</w:t>
      </w:r>
      <w:proofErr w:type="spellEnd"/>
      <w:r>
        <w:rPr>
          <w:i/>
          <w:sz w:val="20"/>
          <w:szCs w:val="20"/>
        </w:rPr>
        <w:t xml:space="preserve"> </w:t>
      </w:r>
      <w:proofErr w:type="spellStart"/>
      <w:r>
        <w:rPr>
          <w:i/>
          <w:sz w:val="20"/>
          <w:szCs w:val="20"/>
        </w:rPr>
        <w:t>acervorum</w:t>
      </w:r>
      <w:proofErr w:type="spellEnd"/>
      <w:r>
        <w:rPr>
          <w:i/>
          <w:sz w:val="20"/>
          <w:szCs w:val="20"/>
        </w:rPr>
        <w:t xml:space="preserve"> colony showing a queen (yellow arrow), adults workers, developing larvae at various stages of development (gut contents clearly visible), </w:t>
      </w:r>
    </w:p>
    <w:p w14:paraId="385D4FD1" w14:textId="77777777" w:rsidR="00F14E76" w:rsidRDefault="00F14E76" w:rsidP="00F14E76"/>
    <w:p w14:paraId="6ECBD147" w14:textId="77777777" w:rsidR="00F14E76" w:rsidRPr="00741E8F" w:rsidRDefault="00F14E76" w:rsidP="00F14E76">
      <w:r w:rsidRPr="00741E8F">
        <w:t xml:space="preserve">The objectives of the PhD project are as follows (the emphasis on </w:t>
      </w:r>
      <w:r>
        <w:t>each element can be tailored to your interests &amp; how the project develops</w:t>
      </w:r>
      <w:r w:rsidRPr="00741E8F">
        <w:t>)</w:t>
      </w:r>
      <w:r>
        <w:t>.</w:t>
      </w:r>
    </w:p>
    <w:p w14:paraId="1C288529" w14:textId="77777777" w:rsidR="00F14E76" w:rsidRPr="00A4076B" w:rsidRDefault="00F14E76" w:rsidP="00F14E76">
      <w:pPr>
        <w:pStyle w:val="ListParagraph"/>
        <w:numPr>
          <w:ilvl w:val="0"/>
          <w:numId w:val="11"/>
        </w:numPr>
        <w:rPr>
          <w:i/>
          <w:sz w:val="20"/>
          <w:szCs w:val="20"/>
        </w:rPr>
      </w:pPr>
      <w:r w:rsidRPr="00A4076B">
        <w:rPr>
          <w:b/>
        </w:rPr>
        <w:t>Model the effects of inbreeding and diploid male production in haplodiploids</w:t>
      </w:r>
      <w:r>
        <w:t xml:space="preserve">. Although there is some theoretical work on the impact of inbreeding and diploid male production on population persistence, you will extend this theory to investigate how life history variation influences outcome.  </w:t>
      </w:r>
    </w:p>
    <w:p w14:paraId="59892CD1" w14:textId="77777777" w:rsidR="00F14E76" w:rsidRPr="00A4076B" w:rsidRDefault="00F14E76" w:rsidP="00F14E76">
      <w:pPr>
        <w:pStyle w:val="ListParagraph"/>
        <w:numPr>
          <w:ilvl w:val="0"/>
          <w:numId w:val="11"/>
        </w:numPr>
        <w:rPr>
          <w:i/>
          <w:sz w:val="20"/>
          <w:szCs w:val="20"/>
        </w:rPr>
      </w:pPr>
      <w:r w:rsidRPr="00A4076B">
        <w:rPr>
          <w:b/>
        </w:rPr>
        <w:t>Estimate inbreeding &amp; diploid male production in a model ant species</w:t>
      </w:r>
      <w:r>
        <w:t xml:space="preserve">. You will estimate diploid male production in the well-studied ant, </w:t>
      </w:r>
      <w:proofErr w:type="spellStart"/>
      <w:r w:rsidRPr="00A4076B">
        <w:rPr>
          <w:i/>
          <w:iCs/>
        </w:rPr>
        <w:t>Leptothorax</w:t>
      </w:r>
      <w:proofErr w:type="spellEnd"/>
      <w:r w:rsidRPr="00A4076B">
        <w:rPr>
          <w:i/>
          <w:iCs/>
        </w:rPr>
        <w:t xml:space="preserve"> </w:t>
      </w:r>
      <w:proofErr w:type="spellStart"/>
      <w:r w:rsidRPr="00A4076B">
        <w:rPr>
          <w:i/>
          <w:iCs/>
        </w:rPr>
        <w:t>acervorum</w:t>
      </w:r>
      <w:proofErr w:type="spellEnd"/>
      <w:r>
        <w:rPr>
          <w:i/>
          <w:iCs/>
        </w:rPr>
        <w:t xml:space="preserve"> </w:t>
      </w:r>
      <w:r>
        <w:rPr>
          <w:iCs/>
        </w:rPr>
        <w:t>(Figure 1C)</w:t>
      </w:r>
      <w:r w:rsidRPr="00A4076B">
        <w:rPr>
          <w:iCs/>
        </w:rPr>
        <w:t>, and test if this correlates with effective population size (current and historical) estimated from genetic data</w:t>
      </w:r>
      <w:r w:rsidRPr="00033012">
        <w:t>.</w:t>
      </w:r>
      <w:r>
        <w:t xml:space="preserve"> In the southern part of their range (Spain) this species is attitudinally limited being restricted to &gt;1500m (Figure 1B). Populations are often small, have limited gene flow and so population isolation and inbreeding is a real issue and diploid males are regularly produced (Hammond, unpublished data)</w:t>
      </w:r>
    </w:p>
    <w:p w14:paraId="7E892D3B" w14:textId="77777777" w:rsidR="00F14E76" w:rsidRPr="00A4076B" w:rsidRDefault="00F14E76" w:rsidP="00F14E76">
      <w:pPr>
        <w:pStyle w:val="ListParagraph"/>
        <w:numPr>
          <w:ilvl w:val="0"/>
          <w:numId w:val="11"/>
        </w:numPr>
        <w:rPr>
          <w:i/>
          <w:sz w:val="20"/>
          <w:szCs w:val="20"/>
        </w:rPr>
      </w:pPr>
      <w:r w:rsidRPr="00A4076B">
        <w:rPr>
          <w:b/>
        </w:rPr>
        <w:t>Model habitat patch size, occupancy and fragmentation.</w:t>
      </w:r>
      <w:r>
        <w:t xml:space="preserve"> You will use spatial data to discover suitable habitats for </w:t>
      </w:r>
      <w:proofErr w:type="spellStart"/>
      <w:r w:rsidRPr="00A4076B">
        <w:rPr>
          <w:i/>
        </w:rPr>
        <w:t>L.acervorum</w:t>
      </w:r>
      <w:proofErr w:type="spellEnd"/>
      <w:r>
        <w:t xml:space="preserve"> in Spain.  This will allow us to estimate patch size and connectivity and to interpret data gained from objective 2. It will also find new populations to sample for part 2.</w:t>
      </w:r>
    </w:p>
    <w:p w14:paraId="6F99326E" w14:textId="77777777" w:rsidR="00F14E76" w:rsidRPr="005C65A1" w:rsidRDefault="00F14E76" w:rsidP="00F14E76">
      <w:pPr>
        <w:rPr>
          <w:b/>
        </w:rPr>
      </w:pPr>
      <w:r w:rsidRPr="005C65A1">
        <w:rPr>
          <w:b/>
        </w:rPr>
        <w:t>Methodology</w:t>
      </w:r>
      <w:r>
        <w:rPr>
          <w:b/>
        </w:rPr>
        <w:t>:</w:t>
      </w:r>
    </w:p>
    <w:p w14:paraId="6330ABDB" w14:textId="77777777" w:rsidR="00F14E76" w:rsidRPr="00A4076B" w:rsidRDefault="00F14E76" w:rsidP="00F14E76">
      <w:pPr>
        <w:pStyle w:val="ListParagraph"/>
        <w:numPr>
          <w:ilvl w:val="0"/>
          <w:numId w:val="12"/>
        </w:numPr>
        <w:rPr>
          <w:i/>
          <w:sz w:val="20"/>
          <w:szCs w:val="20"/>
        </w:rPr>
      </w:pPr>
      <w:r w:rsidRPr="00A4076B">
        <w:rPr>
          <w:b/>
        </w:rPr>
        <w:t>Modelling:</w:t>
      </w:r>
      <w:r>
        <w:t xml:space="preserve"> You will develop mathematical models of diploid male production that consider: solitary vs social living, for social species the type of colony founding, mating frequency of females, colony size and female productivity, diploid male fertility and triploid female fertility.</w:t>
      </w:r>
    </w:p>
    <w:p w14:paraId="5D3DE12D" w14:textId="77777777" w:rsidR="00F14E76" w:rsidRPr="00A4076B" w:rsidRDefault="00F14E76" w:rsidP="00F14E76">
      <w:pPr>
        <w:pStyle w:val="ListParagraph"/>
        <w:numPr>
          <w:ilvl w:val="0"/>
          <w:numId w:val="12"/>
        </w:numPr>
        <w:rPr>
          <w:i/>
          <w:sz w:val="20"/>
          <w:szCs w:val="20"/>
        </w:rPr>
      </w:pPr>
      <w:r w:rsidRPr="00A4076B">
        <w:rPr>
          <w:b/>
        </w:rPr>
        <w:t xml:space="preserve">Inbreeding / diploid male production: </w:t>
      </w:r>
      <w:r w:rsidRPr="001A2152">
        <w:t xml:space="preserve">You will </w:t>
      </w:r>
      <w:r>
        <w:t xml:space="preserve">collect samples of the ant, </w:t>
      </w:r>
      <w:proofErr w:type="spellStart"/>
      <w:r w:rsidRPr="00A4076B">
        <w:rPr>
          <w:i/>
        </w:rPr>
        <w:t>L.acervorum</w:t>
      </w:r>
      <w:proofErr w:type="spellEnd"/>
      <w:r>
        <w:t>, from known locations, and locations identified by GIS modelling (see 3), in Spain. You will e</w:t>
      </w:r>
      <w:r w:rsidRPr="001A2152">
        <w:t xml:space="preserve">stimate population genetic variation using reduced representation sequencing </w:t>
      </w:r>
      <w:r>
        <w:t xml:space="preserve">and the proportion of diploid males will be identified genetically. This will involve molecular genetic lab work and bioinformatic analysis. </w:t>
      </w:r>
    </w:p>
    <w:p w14:paraId="29F4556A" w14:textId="77777777" w:rsidR="00F14E76" w:rsidRPr="00BD79E8" w:rsidRDefault="00F14E76" w:rsidP="00F14E76">
      <w:pPr>
        <w:pStyle w:val="ListParagraph"/>
        <w:numPr>
          <w:ilvl w:val="0"/>
          <w:numId w:val="12"/>
        </w:numPr>
      </w:pPr>
      <w:r w:rsidRPr="00674B3B">
        <w:rPr>
          <w:b/>
        </w:rPr>
        <w:t>Habitat patch size:</w:t>
      </w:r>
      <w:r w:rsidRPr="00674B3B">
        <w:t xml:space="preserve"> You will develop GIS models to identify suitable habitat/altitude/aspect patches. This will be done using data derived from known populations / published records and using state of the art GIS software</w:t>
      </w:r>
      <w:r>
        <w:t xml:space="preserve"> and modelling</w:t>
      </w:r>
      <w:r w:rsidRPr="00674B3B">
        <w:t xml:space="preserve"> (e.g. ArcGIS Pro</w:t>
      </w:r>
      <w:r>
        <w:t>, R</w:t>
      </w:r>
      <w:r w:rsidRPr="00674B3B">
        <w:t>).</w:t>
      </w:r>
    </w:p>
    <w:p w14:paraId="6AFB42B6" w14:textId="77777777" w:rsidR="00F14E76" w:rsidRDefault="00F14E76" w:rsidP="00DC7AB5">
      <w:pPr>
        <w:pStyle w:val="NoSpacing"/>
        <w:rPr>
          <w:b/>
          <w:bCs/>
        </w:rPr>
      </w:pPr>
    </w:p>
    <w:p w14:paraId="2DBDF6F4" w14:textId="77777777" w:rsidR="00F14E76" w:rsidRDefault="00F14E76" w:rsidP="00DC7AB5">
      <w:pPr>
        <w:pStyle w:val="NoSpacing"/>
        <w:rPr>
          <w:b/>
          <w:bCs/>
        </w:rPr>
      </w:pPr>
    </w:p>
    <w:p w14:paraId="39107CD2" w14:textId="443B306F" w:rsidR="00AD34D7" w:rsidRDefault="00AD34D7" w:rsidP="00DC7AB5">
      <w:pPr>
        <w:pStyle w:val="NoSpacing"/>
        <w:rPr>
          <w:b/>
          <w:bCs/>
        </w:rPr>
      </w:pPr>
      <w:r w:rsidRPr="00D1675B">
        <w:rPr>
          <w:b/>
          <w:bCs/>
        </w:rPr>
        <w:t xml:space="preserve">References: </w:t>
      </w:r>
    </w:p>
    <w:p w14:paraId="489156EF" w14:textId="77777777" w:rsidR="00AD34D7" w:rsidRPr="00D1675B" w:rsidRDefault="00AD34D7" w:rsidP="00DC7AB5">
      <w:pPr>
        <w:pStyle w:val="NoSpacing"/>
        <w:rPr>
          <w:b/>
          <w:bCs/>
        </w:rPr>
      </w:pPr>
    </w:p>
    <w:p w14:paraId="4A6B40ED" w14:textId="77777777" w:rsidR="00F14E76" w:rsidRPr="00403A93" w:rsidRDefault="00F14E76" w:rsidP="00F14E76">
      <w:pPr>
        <w:pStyle w:val="Bibliography"/>
        <w:rPr>
          <w:rFonts w:ascii="Calibri" w:hAnsi="Calibri" w:cs="Calibri"/>
        </w:rPr>
      </w:pPr>
      <w:proofErr w:type="spellStart"/>
      <w:r w:rsidRPr="00403A93">
        <w:rPr>
          <w:rFonts w:ascii="Calibri" w:hAnsi="Calibri" w:cs="Calibri"/>
        </w:rPr>
        <w:t>Harpur</w:t>
      </w:r>
      <w:proofErr w:type="spellEnd"/>
      <w:r w:rsidRPr="00403A93">
        <w:rPr>
          <w:rFonts w:ascii="Calibri" w:hAnsi="Calibri" w:cs="Calibri"/>
        </w:rPr>
        <w:t xml:space="preserve">, B.A., </w:t>
      </w:r>
      <w:proofErr w:type="spellStart"/>
      <w:r w:rsidRPr="00403A93">
        <w:rPr>
          <w:rFonts w:ascii="Calibri" w:hAnsi="Calibri" w:cs="Calibri"/>
        </w:rPr>
        <w:t>Sobhani</w:t>
      </w:r>
      <w:proofErr w:type="spellEnd"/>
      <w:r w:rsidRPr="00403A93">
        <w:rPr>
          <w:rFonts w:ascii="Calibri" w:hAnsi="Calibri" w:cs="Calibri"/>
        </w:rPr>
        <w:t xml:space="preserve">, M., Zayed, A., 2013. A review of the consequences of complementary sex determination and diploid male production on mating failures in the Hymenoptera. </w:t>
      </w:r>
      <w:proofErr w:type="spellStart"/>
      <w:r w:rsidRPr="00403A93">
        <w:rPr>
          <w:rFonts w:ascii="Calibri" w:hAnsi="Calibri" w:cs="Calibri"/>
        </w:rPr>
        <w:t>Entomol</w:t>
      </w:r>
      <w:proofErr w:type="spellEnd"/>
      <w:r w:rsidRPr="00403A93">
        <w:rPr>
          <w:rFonts w:ascii="Calibri" w:hAnsi="Calibri" w:cs="Calibri"/>
        </w:rPr>
        <w:t>. Exp. Appl. 146, 156–164. https://doi.org/10.1111/j.1570-7458.2012.01306.x</w:t>
      </w:r>
    </w:p>
    <w:p w14:paraId="0FA6A642" w14:textId="77777777" w:rsidR="00F14E76" w:rsidRPr="00403A93" w:rsidRDefault="00F14E76" w:rsidP="00F14E76">
      <w:pPr>
        <w:pStyle w:val="Bibliography"/>
        <w:rPr>
          <w:rFonts w:ascii="Calibri" w:hAnsi="Calibri" w:cs="Calibri"/>
        </w:rPr>
      </w:pPr>
      <w:proofErr w:type="spellStart"/>
      <w:r w:rsidRPr="00403A93">
        <w:rPr>
          <w:rFonts w:ascii="Calibri" w:hAnsi="Calibri" w:cs="Calibri"/>
        </w:rPr>
        <w:t>Heimpel</w:t>
      </w:r>
      <w:proofErr w:type="spellEnd"/>
      <w:r w:rsidRPr="00403A93">
        <w:rPr>
          <w:rFonts w:ascii="Calibri" w:hAnsi="Calibri" w:cs="Calibri"/>
        </w:rPr>
        <w:t xml:space="preserve">, G.E., de Boer, J.G., 2008. Sex determination in the Hymenoptera. </w:t>
      </w:r>
      <w:proofErr w:type="spellStart"/>
      <w:r w:rsidRPr="00403A93">
        <w:rPr>
          <w:rFonts w:ascii="Calibri" w:hAnsi="Calibri" w:cs="Calibri"/>
        </w:rPr>
        <w:t>Annu</w:t>
      </w:r>
      <w:proofErr w:type="spellEnd"/>
      <w:r w:rsidRPr="00403A93">
        <w:rPr>
          <w:rFonts w:ascii="Calibri" w:hAnsi="Calibri" w:cs="Calibri"/>
        </w:rPr>
        <w:t xml:space="preserve">. Rev. </w:t>
      </w:r>
      <w:proofErr w:type="spellStart"/>
      <w:r w:rsidRPr="00403A93">
        <w:rPr>
          <w:rFonts w:ascii="Calibri" w:hAnsi="Calibri" w:cs="Calibri"/>
        </w:rPr>
        <w:t>Entomol</w:t>
      </w:r>
      <w:proofErr w:type="spellEnd"/>
      <w:r w:rsidRPr="00403A93">
        <w:rPr>
          <w:rFonts w:ascii="Calibri" w:hAnsi="Calibri" w:cs="Calibri"/>
        </w:rPr>
        <w:t>. 53, 209–230. https://doi.org/10.1146/annurev.ento.53.103106.093441</w:t>
      </w:r>
    </w:p>
    <w:p w14:paraId="0744E382" w14:textId="77777777" w:rsidR="00F14E76" w:rsidRPr="00403A93" w:rsidRDefault="00F14E76" w:rsidP="00F14E76">
      <w:pPr>
        <w:pStyle w:val="Bibliography"/>
        <w:rPr>
          <w:rFonts w:ascii="Calibri" w:hAnsi="Calibri" w:cs="Calibri"/>
        </w:rPr>
      </w:pPr>
      <w:r w:rsidRPr="00403A93">
        <w:rPr>
          <w:rFonts w:ascii="Calibri" w:hAnsi="Calibri" w:cs="Calibri"/>
        </w:rPr>
        <w:t xml:space="preserve">Sanchez-Bayo, F., </w:t>
      </w:r>
      <w:proofErr w:type="spellStart"/>
      <w:r w:rsidRPr="00403A93">
        <w:rPr>
          <w:rFonts w:ascii="Calibri" w:hAnsi="Calibri" w:cs="Calibri"/>
        </w:rPr>
        <w:t>Wyckhuys</w:t>
      </w:r>
      <w:proofErr w:type="spellEnd"/>
      <w:r w:rsidRPr="00403A93">
        <w:rPr>
          <w:rFonts w:ascii="Calibri" w:hAnsi="Calibri" w:cs="Calibri"/>
        </w:rPr>
        <w:t xml:space="preserve">, K.A.G., 2019. Worldwide decline of the entomofauna: A review of its drivers. Biol. </w:t>
      </w:r>
      <w:proofErr w:type="spellStart"/>
      <w:r w:rsidRPr="00403A93">
        <w:rPr>
          <w:rFonts w:ascii="Calibri" w:hAnsi="Calibri" w:cs="Calibri"/>
        </w:rPr>
        <w:t>Conserv</w:t>
      </w:r>
      <w:proofErr w:type="spellEnd"/>
      <w:r w:rsidRPr="00403A93">
        <w:rPr>
          <w:rFonts w:ascii="Calibri" w:hAnsi="Calibri" w:cs="Calibri"/>
        </w:rPr>
        <w:t>. 232, 8–27. https://doi.org/10.1016/j.biocon.2019.01.020</w:t>
      </w:r>
    </w:p>
    <w:p w14:paraId="5D883C7F" w14:textId="1B18AFC0" w:rsidR="00AD34D7" w:rsidRPr="00F14E76" w:rsidRDefault="00F14E76" w:rsidP="00F14E76">
      <w:pPr>
        <w:pStyle w:val="Bibliography"/>
        <w:rPr>
          <w:rFonts w:ascii="Calibri" w:hAnsi="Calibri" w:cs="Calibri"/>
        </w:rPr>
      </w:pPr>
      <w:r w:rsidRPr="00403A93">
        <w:rPr>
          <w:rFonts w:ascii="Calibri" w:hAnsi="Calibri" w:cs="Calibri"/>
        </w:rPr>
        <w:t>Zayed, A., Packer, L., 2005. Complementary sex determination substantially increases extinction proneness of haplodiploid populations. Proc. Natl. Acad. Sci. U. S. A. 102, 10742–10746. https://doi.org/10.1073/pnas.0502271102</w:t>
      </w:r>
    </w:p>
    <w:p w14:paraId="4E85B997" w14:textId="77777777" w:rsidR="00AD34D7" w:rsidRPr="00D1675B" w:rsidRDefault="00AD34D7" w:rsidP="00DC7AB5">
      <w:pPr>
        <w:pStyle w:val="NoSpacing"/>
        <w:rPr>
          <w:bCs/>
        </w:rPr>
      </w:pPr>
    </w:p>
    <w:p w14:paraId="7B2DAD71" w14:textId="77777777" w:rsidR="00AD34D7" w:rsidRDefault="00AD34D7" w:rsidP="00186CBA">
      <w:pPr>
        <w:ind w:left="1440" w:hanging="1440"/>
        <w:rPr>
          <w:b/>
        </w:rPr>
      </w:pPr>
      <w:r w:rsidRPr="00D1675B">
        <w:rPr>
          <w:b/>
        </w:rPr>
        <w:t xml:space="preserve">Funding details: </w:t>
      </w:r>
    </w:p>
    <w:p w14:paraId="2263D538" w14:textId="77777777" w:rsidR="00AD34D7" w:rsidRPr="005A16DA" w:rsidRDefault="00AD34D7" w:rsidP="001A22DD">
      <w:r>
        <w:t xml:space="preserve">NERC </w:t>
      </w:r>
      <w:r w:rsidRPr="005A16DA">
        <w:t>CENTA studentships are for 3.5 years and are funded by NERC. In addition to the full payment of your tuition fees, you will receive the following financial support:</w:t>
      </w:r>
    </w:p>
    <w:p w14:paraId="6AF780E9" w14:textId="77777777" w:rsidR="00AD34D7" w:rsidRPr="005A16DA" w:rsidRDefault="00AD34D7" w:rsidP="0089276A">
      <w:pPr>
        <w:numPr>
          <w:ilvl w:val="0"/>
          <w:numId w:val="8"/>
        </w:numPr>
      </w:pPr>
      <w:r w:rsidRPr="005A16DA">
        <w:t>Annual stipend, currently set at £</w:t>
      </w:r>
      <w:r>
        <w:rPr>
          <w:rStyle w:val="ui-provider"/>
        </w:rPr>
        <w:t>18,622</w:t>
      </w:r>
      <w:r w:rsidRPr="0089276A">
        <w:t xml:space="preserve"> </w:t>
      </w:r>
      <w:r w:rsidRPr="005A16DA">
        <w:t>(</w:t>
      </w:r>
      <w:r>
        <w:t>2023/4 – new figures to be confirmed spring 2024)</w:t>
      </w:r>
    </w:p>
    <w:p w14:paraId="341953FF" w14:textId="77777777" w:rsidR="00AD34D7" w:rsidRPr="005A16DA" w:rsidRDefault="00AD34D7" w:rsidP="001A22DD">
      <w:pPr>
        <w:numPr>
          <w:ilvl w:val="0"/>
          <w:numId w:val="8"/>
        </w:numPr>
      </w:pPr>
      <w:r w:rsidRPr="005A16DA">
        <w:t>Research training support grant</w:t>
      </w:r>
      <w:r>
        <w:t xml:space="preserve"> £8,000</w:t>
      </w:r>
      <w:r w:rsidRPr="005A16DA">
        <w:t xml:space="preserve"> (RTSG)</w:t>
      </w:r>
    </w:p>
    <w:p w14:paraId="4AB82019" w14:textId="77777777" w:rsidR="00AD34D7" w:rsidRDefault="00AD34D7" w:rsidP="001A22DD">
      <w:r>
        <w:t>If you are not eligible for UK Fees the University of Leicester will fund the difference between UK and International fees for the duration of your studies</w:t>
      </w:r>
    </w:p>
    <w:p w14:paraId="14B43D58" w14:textId="77777777" w:rsidR="00AD34D7" w:rsidRDefault="00AD34D7" w:rsidP="001A22DD">
      <w:r>
        <w:t xml:space="preserve">For more details of the CENTA consortium please see the CENTA website: www.centa.org.uk. </w:t>
      </w:r>
    </w:p>
    <w:p w14:paraId="61A21FC6" w14:textId="77777777" w:rsidR="00AD34D7" w:rsidRPr="00D1675B" w:rsidRDefault="00AD34D7" w:rsidP="00DC7AB5">
      <w:pPr>
        <w:spacing w:after="0" w:line="240" w:lineRule="auto"/>
        <w:rPr>
          <w:b/>
        </w:rPr>
      </w:pPr>
      <w:r w:rsidRPr="00D1675B">
        <w:rPr>
          <w:b/>
        </w:rPr>
        <w:t>Entry requirements:</w:t>
      </w:r>
    </w:p>
    <w:p w14:paraId="23A9E1B9" w14:textId="77777777" w:rsidR="00AD34D7" w:rsidRPr="00D1675B" w:rsidRDefault="00AD34D7" w:rsidP="00B24449">
      <w:r w:rsidRPr="00D1675B">
        <w:t xml:space="preserve">Applicants are required to hold/or expect to obtain a UK Bachelor Degree 2:1 or better in a relevant subject.  </w:t>
      </w:r>
    </w:p>
    <w:p w14:paraId="4745342C" w14:textId="77777777" w:rsidR="00AD34D7" w:rsidRPr="001A22DD" w:rsidRDefault="00AD34D7" w:rsidP="000B797E">
      <w:r w:rsidRPr="00D1675B">
        <w:t xml:space="preserve">The University of Leicester </w:t>
      </w:r>
      <w:hyperlink r:id="rId8" w:history="1">
        <w:r w:rsidRPr="008B235E">
          <w:rPr>
            <w:rStyle w:val="Hyperlink"/>
            <w:color w:val="auto"/>
            <w:u w:val="none"/>
          </w:rPr>
          <w:t>English language</w:t>
        </w:r>
      </w:hyperlink>
      <w:r w:rsidRPr="00D1675B">
        <w:t xml:space="preserve"> requirements apply where applicable.</w:t>
      </w:r>
    </w:p>
    <w:p w14:paraId="44EF5E24" w14:textId="77777777" w:rsidR="00AD34D7" w:rsidRDefault="00AD34D7" w:rsidP="00186CBA">
      <w:pPr>
        <w:ind w:left="1440" w:hanging="1440"/>
        <w:rPr>
          <w:b/>
        </w:rPr>
      </w:pPr>
    </w:p>
    <w:p w14:paraId="2DFB62F8" w14:textId="77777777" w:rsidR="00AD34D7" w:rsidRPr="00D1675B" w:rsidRDefault="00AD34D7" w:rsidP="00186CBA">
      <w:pPr>
        <w:ind w:left="1440" w:hanging="1440"/>
        <w:rPr>
          <w:b/>
        </w:rPr>
      </w:pPr>
      <w:r>
        <w:rPr>
          <w:b/>
        </w:rPr>
        <w:t>Application advice:</w:t>
      </w:r>
    </w:p>
    <w:p w14:paraId="1D0C72F2" w14:textId="77777777" w:rsidR="00B57EDD" w:rsidRPr="00B57EDD" w:rsidRDefault="00B57EDD" w:rsidP="00B57EDD">
      <w:pPr>
        <w:shd w:val="clear" w:color="auto" w:fill="FFFFFF"/>
        <w:spacing w:after="0" w:line="240" w:lineRule="auto"/>
        <w:rPr>
          <w:rFonts w:eastAsia="Times New Roman" w:cstheme="minorHAnsi"/>
          <w:color w:val="3C3C3C"/>
          <w:lang w:eastAsia="en-GB"/>
        </w:rPr>
      </w:pPr>
      <w:r w:rsidRPr="00B57EDD">
        <w:rPr>
          <w:rFonts w:eastAsia="Times New Roman" w:cstheme="minorHAnsi"/>
          <w:color w:val="3C3C3C"/>
          <w:lang w:eastAsia="en-GB"/>
        </w:rPr>
        <w:t>To apply please refer to our web page for further information and read carefully the How to Apply section before submitting your application</w:t>
      </w:r>
    </w:p>
    <w:p w14:paraId="6C9004BA" w14:textId="4F368597" w:rsidR="00B57EDD" w:rsidRDefault="00B57EDD" w:rsidP="00B57EDD">
      <w:pPr>
        <w:shd w:val="clear" w:color="auto" w:fill="FFFFFF"/>
        <w:spacing w:after="0" w:line="240" w:lineRule="auto"/>
        <w:rPr>
          <w:rFonts w:eastAsia="Times New Roman" w:cstheme="minorHAnsi"/>
          <w:color w:val="3C3C3C"/>
          <w:lang w:eastAsia="en-GB"/>
        </w:rPr>
      </w:pPr>
      <w:hyperlink r:id="rId9" w:history="1">
        <w:r w:rsidRPr="006A3125">
          <w:rPr>
            <w:rStyle w:val="Hyperlink"/>
            <w:rFonts w:eastAsia="Times New Roman" w:cstheme="minorHAnsi"/>
            <w:lang w:eastAsia="en-GB"/>
          </w:rPr>
          <w:t>https://le.ac.uk/study/research-degrees/funded-opportunities/centa-phd-studentships</w:t>
        </w:r>
      </w:hyperlink>
    </w:p>
    <w:p w14:paraId="15304FBF" w14:textId="77777777" w:rsidR="00B57EDD" w:rsidRDefault="00B57EDD" w:rsidP="00BD3138">
      <w:pPr>
        <w:shd w:val="clear" w:color="auto" w:fill="FFFFFF"/>
        <w:spacing w:after="0" w:line="240" w:lineRule="auto"/>
        <w:rPr>
          <w:rFonts w:eastAsia="Times New Roman" w:cstheme="minorHAnsi"/>
          <w:color w:val="3C3C3C"/>
          <w:lang w:eastAsia="en-GB"/>
        </w:rPr>
      </w:pPr>
    </w:p>
    <w:p w14:paraId="2171366F" w14:textId="6C124D67" w:rsidR="00AD34D7" w:rsidRDefault="00AD34D7"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you wish to be considered for </w:t>
      </w:r>
      <w:r w:rsidRPr="001E178F">
        <w:rPr>
          <w:rFonts w:eastAsia="Times New Roman" w:cstheme="minorHAnsi"/>
          <w:color w:val="FF0000"/>
          <w:lang w:eastAsia="en-GB"/>
        </w:rPr>
        <w:t xml:space="preserve">Ref </w:t>
      </w:r>
      <w:r w:rsidRPr="0037455E">
        <w:rPr>
          <w:rFonts w:eastAsia="Times New Roman" w:cstheme="minorHAnsi"/>
          <w:noProof/>
          <w:color w:val="FF0000"/>
          <w:lang w:eastAsia="en-GB"/>
        </w:rPr>
        <w:t>CENTA2-GENE3-HAMM</w:t>
      </w:r>
    </w:p>
    <w:p w14:paraId="0F41F8F9" w14:textId="77777777" w:rsidR="00AD34D7" w:rsidRDefault="00AD34D7" w:rsidP="00BD3138">
      <w:pPr>
        <w:shd w:val="clear" w:color="auto" w:fill="FFFFFF"/>
        <w:spacing w:after="0" w:line="240" w:lineRule="auto"/>
        <w:rPr>
          <w:rFonts w:eastAsia="Times New Roman" w:cstheme="minorHAnsi"/>
          <w:color w:val="3C3C3C"/>
          <w:shd w:val="clear" w:color="auto" w:fill="FFFFFF"/>
          <w:lang w:eastAsia="en-GB"/>
        </w:rPr>
      </w:pPr>
    </w:p>
    <w:p w14:paraId="70F92838" w14:textId="77777777" w:rsidR="00AD34D7" w:rsidRPr="00E7657A" w:rsidRDefault="00AD34D7" w:rsidP="00BD3138">
      <w:pPr>
        <w:shd w:val="clear" w:color="auto" w:fill="FFFFFF"/>
        <w:spacing w:after="0" w:line="240" w:lineRule="auto"/>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14:paraId="2188DC4A" w14:textId="77777777" w:rsidR="00AD34D7" w:rsidRPr="00D1675B" w:rsidRDefault="00AD34D7" w:rsidP="00186CBA">
      <w:pPr>
        <w:rPr>
          <w:rFonts w:cstheme="minorHAnsi"/>
          <w:color w:val="FF0000"/>
        </w:rPr>
      </w:pPr>
    </w:p>
    <w:p w14:paraId="1A77C4BF" w14:textId="14077CB7" w:rsidR="00AD34D7" w:rsidRPr="00D1675B" w:rsidRDefault="00AD34D7" w:rsidP="00DC7AB5">
      <w:pPr>
        <w:jc w:val="both"/>
        <w:rPr>
          <w:rFonts w:cstheme="minorHAnsi"/>
        </w:rPr>
      </w:pPr>
      <w:r w:rsidRPr="00D1675B">
        <w:rPr>
          <w:rFonts w:cstheme="minorHAnsi"/>
          <w:b/>
        </w:rPr>
        <w:t>Project / Funding Enquiries</w:t>
      </w:r>
      <w:r>
        <w:rPr>
          <w:rFonts w:cstheme="minorHAnsi"/>
          <w:b/>
        </w:rPr>
        <w:t xml:space="preserve"> to</w:t>
      </w:r>
      <w:r w:rsidRPr="00D1675B">
        <w:rPr>
          <w:rFonts w:cstheme="minorHAnsi"/>
          <w:b/>
        </w:rPr>
        <w:t>:</w:t>
      </w:r>
      <w:r w:rsidRPr="00457114">
        <w:rPr>
          <w:rFonts w:cstheme="minorHAnsi"/>
          <w:b/>
        </w:rPr>
        <w:t xml:space="preserve"> </w:t>
      </w:r>
      <w:hyperlink r:id="rId10" w:history="1">
        <w:r w:rsidRPr="00457114">
          <w:rPr>
            <w:rStyle w:val="Hyperlink"/>
            <w:rFonts w:cstheme="minorHAnsi"/>
            <w:b/>
          </w:rPr>
          <w:t>CENTA@le.ac.uk</w:t>
        </w:r>
      </w:hyperlink>
      <w:r w:rsidRPr="00457114">
        <w:rPr>
          <w:rFonts w:cstheme="minorHAnsi"/>
          <w:b/>
        </w:rPr>
        <w:t xml:space="preserve"> or </w:t>
      </w:r>
      <w:hyperlink r:id="rId11" w:history="1">
        <w:r w:rsidR="00F14E76" w:rsidRPr="00C0593F">
          <w:rPr>
            <w:rStyle w:val="Hyperlink"/>
            <w:b/>
          </w:rPr>
          <w:t>rh225@le.ac.uk</w:t>
        </w:r>
      </w:hyperlink>
    </w:p>
    <w:p w14:paraId="7FC3A042" w14:textId="77777777" w:rsidR="00AD34D7" w:rsidRDefault="00AD34D7" w:rsidP="00186CBA">
      <w:pPr>
        <w:rPr>
          <w:b/>
        </w:rPr>
      </w:pPr>
      <w:r w:rsidRPr="00D1675B">
        <w:rPr>
          <w:rFonts w:cstheme="minorHAnsi"/>
          <w:b/>
        </w:rPr>
        <w:t xml:space="preserve">Application enquiries to </w:t>
      </w:r>
      <w:hyperlink r:id="rId12"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AD34D7" w:rsidRPr="00B90549" w14:paraId="78939A86" w14:textId="77777777" w:rsidTr="00B90549">
        <w:trPr>
          <w:tblCellSpacing w:w="0" w:type="dxa"/>
        </w:trPr>
        <w:tc>
          <w:tcPr>
            <w:tcW w:w="0" w:type="auto"/>
            <w:tcMar>
              <w:top w:w="0" w:type="dxa"/>
              <w:left w:w="150" w:type="dxa"/>
              <w:bottom w:w="0" w:type="dxa"/>
              <w:right w:w="0" w:type="dxa"/>
            </w:tcMar>
          </w:tcPr>
          <w:p w14:paraId="0EE8121E" w14:textId="77777777" w:rsidR="00AD34D7" w:rsidRPr="00B90549" w:rsidRDefault="00AD34D7" w:rsidP="00B90549">
            <w:pPr>
              <w:rPr>
                <w:b/>
              </w:rPr>
            </w:pPr>
          </w:p>
        </w:tc>
        <w:tc>
          <w:tcPr>
            <w:tcW w:w="0" w:type="auto"/>
          </w:tcPr>
          <w:p w14:paraId="780BD266" w14:textId="77777777" w:rsidR="00AD34D7" w:rsidRPr="00B90549" w:rsidRDefault="00AD34D7" w:rsidP="00B90549">
            <w:pPr>
              <w:rPr>
                <w:b/>
              </w:rPr>
            </w:pPr>
          </w:p>
        </w:tc>
      </w:tr>
    </w:tbl>
    <w:p w14:paraId="519BF01A" w14:textId="77777777" w:rsidR="00AD34D7" w:rsidRDefault="00AD34D7" w:rsidP="00186CBA">
      <w:pPr>
        <w:rPr>
          <w:b/>
        </w:rPr>
        <w:sectPr w:rsidR="00AD34D7" w:rsidSect="00AD34D7">
          <w:pgSz w:w="11906" w:h="16838"/>
          <w:pgMar w:top="1440" w:right="1440" w:bottom="1440" w:left="1440" w:header="708" w:footer="708" w:gutter="0"/>
          <w:pgNumType w:start="1"/>
          <w:cols w:space="708"/>
          <w:docGrid w:linePitch="360"/>
        </w:sectPr>
      </w:pPr>
    </w:p>
    <w:p w14:paraId="66570529" w14:textId="77777777" w:rsidR="00AD34D7" w:rsidRPr="00D1675B" w:rsidRDefault="00AD34D7" w:rsidP="00186CBA">
      <w:pPr>
        <w:rPr>
          <w:b/>
        </w:rPr>
      </w:pPr>
    </w:p>
    <w:sectPr w:rsidR="00AD34D7" w:rsidRPr="00D1675B" w:rsidSect="00AD34D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0CC2165"/>
    <w:multiLevelType w:val="hybridMultilevel"/>
    <w:tmpl w:val="854C152A"/>
    <w:lvl w:ilvl="0" w:tplc="43CC519E">
      <w:start w:val="35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83813"/>
    <w:multiLevelType w:val="hybridMultilevel"/>
    <w:tmpl w:val="675232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94946"/>
    <w:multiLevelType w:val="hybridMultilevel"/>
    <w:tmpl w:val="AAB211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1">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1">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6"/>
  </w:num>
  <w:num w:numId="5">
    <w:abstractNumId w:val="4"/>
  </w:num>
  <w:num w:numId="6">
    <w:abstractNumId w:val="10"/>
  </w:num>
  <w:num w:numId="7">
    <w:abstractNumId w:val="5"/>
  </w:num>
  <w:num w:numId="8">
    <w:abstractNumId w:val="3"/>
  </w:num>
  <w:num w:numId="9">
    <w:abstractNumId w:val="1"/>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158E9"/>
    <w:rsid w:val="0002495F"/>
    <w:rsid w:val="00092CF5"/>
    <w:rsid w:val="000B797E"/>
    <w:rsid w:val="00186CBA"/>
    <w:rsid w:val="001A22DD"/>
    <w:rsid w:val="001E178F"/>
    <w:rsid w:val="00242BA4"/>
    <w:rsid w:val="00270E89"/>
    <w:rsid w:val="00330074"/>
    <w:rsid w:val="003A7DE6"/>
    <w:rsid w:val="003E3E31"/>
    <w:rsid w:val="00414D13"/>
    <w:rsid w:val="00457114"/>
    <w:rsid w:val="004C2F09"/>
    <w:rsid w:val="005F7F9C"/>
    <w:rsid w:val="00686A5A"/>
    <w:rsid w:val="00704D43"/>
    <w:rsid w:val="00797C94"/>
    <w:rsid w:val="008862CC"/>
    <w:rsid w:val="0089276A"/>
    <w:rsid w:val="008B235E"/>
    <w:rsid w:val="00934C02"/>
    <w:rsid w:val="00A5584E"/>
    <w:rsid w:val="00AD34D7"/>
    <w:rsid w:val="00B24449"/>
    <w:rsid w:val="00B57EDD"/>
    <w:rsid w:val="00B90549"/>
    <w:rsid w:val="00BB2974"/>
    <w:rsid w:val="00BD3138"/>
    <w:rsid w:val="00D1675B"/>
    <w:rsid w:val="00DC7AB5"/>
    <w:rsid w:val="00E7657A"/>
    <w:rsid w:val="00F14E76"/>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B00B"/>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04D43"/>
  </w:style>
  <w:style w:type="paragraph" w:styleId="Bibliography">
    <w:name w:val="Bibliography"/>
    <w:basedOn w:val="Normal"/>
    <w:next w:val="Normal"/>
    <w:uiPriority w:val="37"/>
    <w:unhideWhenUsed/>
    <w:rsid w:val="00F14E76"/>
  </w:style>
  <w:style w:type="character" w:styleId="UnresolvedMention">
    <w:name w:val="Unresolved Mention"/>
    <w:basedOn w:val="DefaultParagraphFont"/>
    <w:uiPriority w:val="99"/>
    <w:semiHidden/>
    <w:unhideWhenUsed/>
    <w:rsid w:val="00B5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4967">
      <w:bodyDiv w:val="1"/>
      <w:marLeft w:val="0"/>
      <w:marRight w:val="0"/>
      <w:marTop w:val="0"/>
      <w:marBottom w:val="0"/>
      <w:divBdr>
        <w:top w:val="none" w:sz="0" w:space="0" w:color="auto"/>
        <w:left w:val="none" w:sz="0" w:space="0" w:color="auto"/>
        <w:bottom w:val="none" w:sz="0" w:space="0" w:color="auto"/>
        <w:right w:val="none" w:sz="0" w:space="0" w:color="auto"/>
      </w:divBdr>
    </w:div>
    <w:div w:id="1221094470">
      <w:bodyDiv w:val="1"/>
      <w:marLeft w:val="0"/>
      <w:marRight w:val="0"/>
      <w:marTop w:val="0"/>
      <w:marBottom w:val="0"/>
      <w:divBdr>
        <w:top w:val="none" w:sz="0" w:space="0" w:color="auto"/>
        <w:left w:val="none" w:sz="0" w:space="0" w:color="auto"/>
        <w:bottom w:val="none" w:sz="0" w:space="0" w:color="auto"/>
        <w:right w:val="none" w:sz="0" w:space="0" w:color="auto"/>
      </w:divBdr>
    </w:div>
    <w:div w:id="1384258686">
      <w:bodyDiv w:val="1"/>
      <w:marLeft w:val="0"/>
      <w:marRight w:val="0"/>
      <w:marTop w:val="0"/>
      <w:marBottom w:val="0"/>
      <w:divBdr>
        <w:top w:val="none" w:sz="0" w:space="0" w:color="auto"/>
        <w:left w:val="none" w:sz="0" w:space="0" w:color="auto"/>
        <w:bottom w:val="none" w:sz="0" w:space="0" w:color="auto"/>
        <w:right w:val="none" w:sz="0" w:space="0" w:color="auto"/>
      </w:divBdr>
    </w:div>
    <w:div w:id="1442845623">
      <w:bodyDiv w:val="1"/>
      <w:marLeft w:val="0"/>
      <w:marRight w:val="0"/>
      <w:marTop w:val="0"/>
      <w:marBottom w:val="0"/>
      <w:divBdr>
        <w:top w:val="none" w:sz="0" w:space="0" w:color="auto"/>
        <w:left w:val="none" w:sz="0" w:space="0" w:color="auto"/>
        <w:bottom w:val="none" w:sz="0" w:space="0" w:color="auto"/>
        <w:right w:val="none" w:sz="0" w:space="0" w:color="auto"/>
      </w:divBdr>
    </w:div>
    <w:div w:id="1812286296">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entry-reqs/eng-lang-re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pgradmissions@l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225@le.ac.uk" TargetMode="External"/><Relationship Id="rId11" Type="http://schemas.openxmlformats.org/officeDocument/2006/relationships/hyperlink" Target="mailto:rh225@le.ac.uk" TargetMode="External"/><Relationship Id="rId5" Type="http://schemas.openxmlformats.org/officeDocument/2006/relationships/webSettings" Target="webSettings.xml"/><Relationship Id="rId10" Type="http://schemas.openxmlformats.org/officeDocument/2006/relationships/hyperlink" Target="mailto:CENTA@le.ac.uk" TargetMode="External"/><Relationship Id="rId4" Type="http://schemas.openxmlformats.org/officeDocument/2006/relationships/settings" Target="settings.xml"/><Relationship Id="rId9" Type="http://schemas.openxmlformats.org/officeDocument/2006/relationships/hyperlink" Target="https://le.ac.uk/study/research-degrees/funded-opportunities/centa-phd-student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361-615B-4ABD-949E-04DD99C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Hogwood, Robert E.</cp:lastModifiedBy>
  <cp:revision>4</cp:revision>
  <dcterms:created xsi:type="dcterms:W3CDTF">2023-10-03T11:12:00Z</dcterms:created>
  <dcterms:modified xsi:type="dcterms:W3CDTF">2023-10-19T13:19:00Z</dcterms:modified>
</cp:coreProperties>
</file>