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5F8CA11D" w:rsidR="00066C81" w:rsidRPr="00066C81" w:rsidRDefault="00967C74" w:rsidP="00066C81">
            <w:r w:rsidRPr="00967C74">
              <w:t xml:space="preserve">Dr Ralf </w:t>
            </w:r>
            <w:proofErr w:type="spellStart"/>
            <w:r w:rsidRPr="00967C74">
              <w:t>Schmid</w:t>
            </w:r>
            <w:proofErr w:type="spellEnd"/>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5971A008" w:rsidR="00066C81" w:rsidRPr="00066C81" w:rsidRDefault="00967C74" w:rsidP="00066C81">
            <w:r w:rsidRPr="00967C74">
              <w:t>Molecular &amp; Cell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383B03F0" w:rsidR="00172FB3" w:rsidRPr="00066C81" w:rsidRDefault="007D5EE0" w:rsidP="00066C81">
            <w:hyperlink r:id="rId5" w:history="1">
              <w:r w:rsidR="00967C74" w:rsidRPr="00733211">
                <w:rPr>
                  <w:rStyle w:val="Hyperlink"/>
                </w:rPr>
                <w:t>rs206@leicester.ac.uk</w:t>
              </w:r>
            </w:hyperlink>
            <w:r w:rsidR="00967C74">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EB90E67" w:rsidR="00066C81" w:rsidRDefault="00967C74" w:rsidP="00ED69E6">
            <w:r w:rsidRPr="00967C74">
              <w:t>Dr Catherine Vial</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36AC23E7" w:rsidR="00066C81" w:rsidRDefault="00967C74" w:rsidP="00ED69E6">
            <w:r w:rsidRPr="00967C74">
              <w:t>Biological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2866FA3F" w:rsidR="00172FB3" w:rsidRDefault="007D5EE0" w:rsidP="00ED69E6">
            <w:hyperlink r:id="rId6" w:history="1">
              <w:r w:rsidR="00967C74" w:rsidRPr="00733211">
                <w:rPr>
                  <w:rStyle w:val="Hyperlink"/>
                </w:rPr>
                <w:t>cv12@leicester.ac.uk</w:t>
              </w:r>
            </w:hyperlink>
            <w:r w:rsidR="00967C74">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344E2173" w:rsidR="00066C81" w:rsidRDefault="00967C74"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5D2A4F6E" w:rsidR="00066C81" w:rsidRDefault="00967C74" w:rsidP="00ED69E6">
            <w:r w:rsidRPr="00967C74">
              <w:t>Molecular Modelling of P2X receptor function</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23F4853A" w14:textId="5F00903F" w:rsidR="00172FB3" w:rsidRPr="00967C74" w:rsidRDefault="00967C74" w:rsidP="00ED69E6">
            <w:r w:rsidRPr="00967C74">
              <w:t xml:space="preserve">Extracellular ATP is a key signalling molecule in many physiological processes including immune response and neurotransmission. It acts on P2X receptors (P2XR), a family of ligand-gated ion channels, which </w:t>
            </w:r>
            <w:proofErr w:type="gramStart"/>
            <w:r w:rsidRPr="00967C74">
              <w:t>are activated</w:t>
            </w:r>
            <w:proofErr w:type="gramEnd"/>
            <w:r w:rsidRPr="00967C74">
              <w:t xml:space="preserve"> upon binding of extracellular ATP. P2XR activation and channel opening allows the influx of small cations into the cell hereby mediating Ca2+ signalling. The human genome encodes seven P2XR homologs (P2XR1-P2XR7) that have distinct roles and show tissue specific expression raising their therapeutic potential. Structurally, P2XRs form homo-trimers and hetero-trimers involving different P2XR homologs. Subunit variation of trimeric complexes provides the machinery for the modulation of cell-type specific responses to extracellular ATP. Each subunit in a homo- or hetero P2XR trimer is characterised by a large extracellular ligand binding domain, two transmembrane helices, and N- and C-termini forming an intracellular cap domain. P2XRs work by cycling through at least three states that are to some extent structurally characterized: a closed </w:t>
            </w:r>
            <w:proofErr w:type="spellStart"/>
            <w:r w:rsidRPr="00967C74">
              <w:t>apo</w:t>
            </w:r>
            <w:proofErr w:type="spellEnd"/>
            <w:r w:rsidRPr="00967C74">
              <w:t xml:space="preserve"> state with no ATP bound, an open state formed upon binding of ATP, and a desensitized state where the ion channel </w:t>
            </w:r>
            <w:proofErr w:type="gramStart"/>
            <w:r w:rsidRPr="00967C74">
              <w:t>is closed</w:t>
            </w:r>
            <w:proofErr w:type="gramEnd"/>
            <w:r w:rsidRPr="00967C74">
              <w:t xml:space="preserve"> despite ATP still being bound. The key questions for P2X receptor function we intend to address in this project are how ATP triggers the opening of the channel, how the receptor transits through the different states upon binding and unbinding of ATP, and how steric and allosteric small molecule antagonists affect different states and receptor function. </w:t>
            </w:r>
            <w:proofErr w:type="gramStart"/>
            <w:r w:rsidRPr="00967C74">
              <w:t xml:space="preserve">We will use computational techniques such as homology modelling and </w:t>
            </w:r>
            <w:proofErr w:type="spellStart"/>
            <w:r w:rsidRPr="00967C74">
              <w:t>AlphaFold</w:t>
            </w:r>
            <w:proofErr w:type="spellEnd"/>
            <w:r w:rsidRPr="00967C74">
              <w:t xml:space="preserve"> modelling to generate relevant structural models in different states and subunit combinations, ligand docking and molecular dynamics simulations to unravel the mechanistic details required for understanding how P2X receptors work at a molecular level and informing drug design, and in depth phylogenetic analysis to elucidate the evolutionary history of this enticing protein family.</w:t>
            </w:r>
            <w:proofErr w:type="gramEnd"/>
            <w:r w:rsidRPr="00967C74">
              <w:t xml:space="preserve"> For recent </w:t>
            </w:r>
            <w:proofErr w:type="gramStart"/>
            <w:r w:rsidRPr="00967C74">
              <w:t>work</w:t>
            </w:r>
            <w:proofErr w:type="gramEnd"/>
            <w:r w:rsidRPr="00967C74">
              <w:t xml:space="preserve"> see references.</w:t>
            </w:r>
          </w:p>
          <w:p w14:paraId="30595529" w14:textId="6E24D7B7" w:rsidR="002A3685" w:rsidRPr="00967C74" w:rsidRDefault="002A3685" w:rsidP="00ED69E6"/>
          <w:p w14:paraId="16746ECF" w14:textId="662AA760" w:rsidR="002A3685" w:rsidRPr="00967C74" w:rsidRDefault="00967C74" w:rsidP="00ED69E6">
            <w:r>
              <w:t>T</w:t>
            </w:r>
            <w:r w:rsidRPr="00967C74">
              <w:t>echniques that will be undertaken during the project</w:t>
            </w:r>
            <w:r>
              <w:t>:</w:t>
            </w:r>
          </w:p>
          <w:p w14:paraId="465367A2" w14:textId="48EE2139" w:rsidR="00967C74" w:rsidRDefault="00967C74" w:rsidP="00967C74">
            <w:pPr>
              <w:pStyle w:val="ListParagraph"/>
              <w:numPr>
                <w:ilvl w:val="0"/>
                <w:numId w:val="1"/>
              </w:numPr>
            </w:pPr>
            <w:r>
              <w:t>protein structure prediction</w:t>
            </w:r>
          </w:p>
          <w:p w14:paraId="1CCB63E8" w14:textId="727D6D15" w:rsidR="00967C74" w:rsidRDefault="00967C74" w:rsidP="00967C74">
            <w:pPr>
              <w:pStyle w:val="ListParagraph"/>
              <w:numPr>
                <w:ilvl w:val="0"/>
                <w:numId w:val="1"/>
              </w:numPr>
            </w:pPr>
            <w:r>
              <w:t>molecular dynamics simulations</w:t>
            </w:r>
          </w:p>
          <w:p w14:paraId="2C0CE9C8" w14:textId="50CEB59D" w:rsidR="00967C74" w:rsidRDefault="00967C74" w:rsidP="00967C74">
            <w:pPr>
              <w:pStyle w:val="ListParagraph"/>
              <w:numPr>
                <w:ilvl w:val="0"/>
                <w:numId w:val="1"/>
              </w:numPr>
            </w:pPr>
            <w:r>
              <w:t>ligand docking</w:t>
            </w:r>
          </w:p>
          <w:p w14:paraId="1D848FA9" w14:textId="0671704E" w:rsidR="00172FB3" w:rsidRPr="00967C74" w:rsidRDefault="00967C74" w:rsidP="00967C74">
            <w:pPr>
              <w:pStyle w:val="ListParagraph"/>
              <w:numPr>
                <w:ilvl w:val="0"/>
                <w:numId w:val="1"/>
              </w:numPr>
            </w:pPr>
            <w:r>
              <w:t>phylogenetic analysis</w:t>
            </w:r>
          </w:p>
          <w:p w14:paraId="26DA9394" w14:textId="2A5C5967" w:rsidR="002A3685" w:rsidRPr="00967C74" w:rsidRDefault="002A3685" w:rsidP="00ED69E6"/>
          <w:p w14:paraId="33DE8695" w14:textId="45B8969C" w:rsidR="002A3685" w:rsidRPr="00967C74" w:rsidRDefault="00967C74" w:rsidP="00ED69E6">
            <w:r w:rsidRPr="00967C74">
              <w:t>BBSRC Strategic Research Priority</w:t>
            </w:r>
            <w:r>
              <w:t xml:space="preserve">: </w:t>
            </w:r>
            <w:r w:rsidRPr="00967C74">
              <w:t>Understanding the Rules of Life</w:t>
            </w:r>
            <w:r>
              <w:t xml:space="preserve"> – </w:t>
            </w:r>
            <w:r w:rsidRPr="00967C74">
              <w:t>Immunology</w:t>
            </w:r>
            <w:r>
              <w:t xml:space="preserve">, </w:t>
            </w:r>
            <w:r w:rsidRPr="00967C74">
              <w:t>Neuroscience and behaviour</w:t>
            </w:r>
            <w:r w:rsidR="007D5EE0">
              <w:t>, Structural Biology</w:t>
            </w:r>
            <w:bookmarkStart w:id="0" w:name="_GoBack"/>
            <w:bookmarkEnd w:id="0"/>
          </w:p>
          <w:p w14:paraId="28C8D33F" w14:textId="0C7F988C" w:rsidR="002A3685" w:rsidRDefault="002A3685" w:rsidP="00ED69E6"/>
          <w:p w14:paraId="160BE2BE" w14:textId="6106491F" w:rsidR="00967C74" w:rsidRDefault="00967C74" w:rsidP="00ED69E6"/>
          <w:p w14:paraId="493009A5" w14:textId="77777777" w:rsidR="00967C74" w:rsidRPr="00967C74" w:rsidRDefault="00967C74" w:rsidP="00ED69E6"/>
          <w:p w14:paraId="33C79811" w14:textId="7777777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3B854F98" w14:textId="77777777" w:rsidR="00967C74" w:rsidRPr="00967C74" w:rsidRDefault="00967C74" w:rsidP="00967C74">
            <w:pPr>
              <w:pStyle w:val="NormalWeb"/>
              <w:rPr>
                <w:rFonts w:asciiTheme="minorHAnsi" w:hAnsiTheme="minorHAnsi" w:cstheme="minorHAnsi"/>
                <w:color w:val="000000"/>
                <w:sz w:val="22"/>
                <w:szCs w:val="22"/>
              </w:rPr>
            </w:pPr>
            <w:proofErr w:type="spellStart"/>
            <w:r w:rsidRPr="00967C74">
              <w:rPr>
                <w:rFonts w:asciiTheme="minorHAnsi" w:hAnsiTheme="minorHAnsi" w:cstheme="minorHAnsi"/>
                <w:color w:val="000000"/>
                <w:sz w:val="22"/>
                <w:szCs w:val="22"/>
              </w:rPr>
              <w:t>Bidula</w:t>
            </w:r>
            <w:proofErr w:type="spellEnd"/>
            <w:r w:rsidRPr="00967C74">
              <w:rPr>
                <w:rFonts w:asciiTheme="minorHAnsi" w:hAnsiTheme="minorHAnsi" w:cstheme="minorHAnsi"/>
                <w:color w:val="000000"/>
                <w:sz w:val="22"/>
                <w:szCs w:val="22"/>
              </w:rPr>
              <w:t xml:space="preserve"> S, </w:t>
            </w:r>
            <w:proofErr w:type="spellStart"/>
            <w:r w:rsidRPr="00967C74">
              <w:rPr>
                <w:rFonts w:asciiTheme="minorHAnsi" w:hAnsiTheme="minorHAnsi" w:cstheme="minorHAnsi"/>
                <w:color w:val="000000"/>
                <w:sz w:val="22"/>
                <w:szCs w:val="22"/>
              </w:rPr>
              <w:t>Nadzirin</w:t>
            </w:r>
            <w:proofErr w:type="spellEnd"/>
            <w:r w:rsidRPr="00967C74">
              <w:rPr>
                <w:rFonts w:asciiTheme="minorHAnsi" w:hAnsiTheme="minorHAnsi" w:cstheme="minorHAnsi"/>
                <w:color w:val="000000"/>
                <w:sz w:val="22"/>
                <w:szCs w:val="22"/>
              </w:rPr>
              <w:t xml:space="preserve"> IB, </w:t>
            </w:r>
            <w:proofErr w:type="spellStart"/>
            <w:r w:rsidRPr="00967C74">
              <w:rPr>
                <w:rFonts w:asciiTheme="minorHAnsi" w:hAnsiTheme="minorHAnsi" w:cstheme="minorHAnsi"/>
                <w:color w:val="000000"/>
                <w:sz w:val="22"/>
                <w:szCs w:val="22"/>
              </w:rPr>
              <w:t>Cominetti</w:t>
            </w:r>
            <w:proofErr w:type="spellEnd"/>
            <w:r w:rsidRPr="00967C74">
              <w:rPr>
                <w:rFonts w:asciiTheme="minorHAnsi" w:hAnsiTheme="minorHAnsi" w:cstheme="minorHAnsi"/>
                <w:color w:val="000000"/>
                <w:sz w:val="22"/>
                <w:szCs w:val="22"/>
              </w:rPr>
              <w:t xml:space="preserve"> M, Hickey H, Cullum SA, </w:t>
            </w:r>
            <w:proofErr w:type="spellStart"/>
            <w:r w:rsidRPr="00967C74">
              <w:rPr>
                <w:rFonts w:asciiTheme="minorHAnsi" w:hAnsiTheme="minorHAnsi" w:cstheme="minorHAnsi"/>
                <w:color w:val="000000"/>
                <w:sz w:val="22"/>
                <w:szCs w:val="22"/>
              </w:rPr>
              <w:t>Searcey</w:t>
            </w:r>
            <w:proofErr w:type="spellEnd"/>
            <w:r w:rsidRPr="00967C74">
              <w:rPr>
                <w:rFonts w:asciiTheme="minorHAnsi" w:hAnsiTheme="minorHAnsi" w:cstheme="minorHAnsi"/>
                <w:color w:val="000000"/>
                <w:sz w:val="22"/>
                <w:szCs w:val="22"/>
              </w:rPr>
              <w:t xml:space="preserve"> M, </w:t>
            </w:r>
            <w:proofErr w:type="spellStart"/>
            <w:r w:rsidRPr="00967C74">
              <w:rPr>
                <w:rFonts w:asciiTheme="minorHAnsi" w:hAnsiTheme="minorHAnsi" w:cstheme="minorHAnsi"/>
                <w:b/>
                <w:color w:val="000000"/>
                <w:sz w:val="22"/>
                <w:szCs w:val="22"/>
              </w:rPr>
              <w:t>Schmid</w:t>
            </w:r>
            <w:proofErr w:type="spellEnd"/>
            <w:r w:rsidRPr="00967C74">
              <w:rPr>
                <w:rFonts w:asciiTheme="minorHAnsi" w:hAnsiTheme="minorHAnsi" w:cstheme="minorHAnsi"/>
                <w:b/>
                <w:color w:val="000000"/>
                <w:sz w:val="22"/>
                <w:szCs w:val="22"/>
              </w:rPr>
              <w:t xml:space="preserve"> R</w:t>
            </w:r>
            <w:r w:rsidRPr="00967C74">
              <w:rPr>
                <w:rFonts w:asciiTheme="minorHAnsi" w:hAnsiTheme="minorHAnsi" w:cstheme="minorHAnsi"/>
                <w:color w:val="000000"/>
                <w:sz w:val="22"/>
                <w:szCs w:val="22"/>
              </w:rPr>
              <w:t xml:space="preserve">, Fountain SJ (2022). </w:t>
            </w:r>
            <w:proofErr w:type="spellStart"/>
            <w:r w:rsidRPr="00967C74">
              <w:rPr>
                <w:rFonts w:asciiTheme="minorHAnsi" w:hAnsiTheme="minorHAnsi" w:cstheme="minorHAnsi"/>
                <w:color w:val="000000"/>
                <w:sz w:val="22"/>
                <w:szCs w:val="22"/>
              </w:rPr>
              <w:t>Mol</w:t>
            </w:r>
            <w:proofErr w:type="spellEnd"/>
            <w:r w:rsidRPr="00967C74">
              <w:rPr>
                <w:rFonts w:asciiTheme="minorHAnsi" w:hAnsiTheme="minorHAnsi" w:cstheme="minorHAnsi"/>
                <w:color w:val="000000"/>
                <w:sz w:val="22"/>
                <w:szCs w:val="22"/>
              </w:rPr>
              <w:t xml:space="preserve"> Pharm. 101, 33-44.</w:t>
            </w:r>
          </w:p>
          <w:p w14:paraId="044B4BE5" w14:textId="77777777" w:rsidR="00967C74" w:rsidRPr="00967C74" w:rsidRDefault="00967C74" w:rsidP="00967C74">
            <w:pPr>
              <w:pStyle w:val="NormalWeb"/>
              <w:rPr>
                <w:rFonts w:asciiTheme="minorHAnsi" w:hAnsiTheme="minorHAnsi" w:cstheme="minorHAnsi"/>
                <w:color w:val="000000"/>
                <w:sz w:val="22"/>
                <w:szCs w:val="22"/>
              </w:rPr>
            </w:pPr>
            <w:r w:rsidRPr="00967C74">
              <w:rPr>
                <w:rFonts w:asciiTheme="minorHAnsi" w:hAnsiTheme="minorHAnsi" w:cstheme="minorHAnsi"/>
                <w:color w:val="000000"/>
                <w:sz w:val="22"/>
                <w:szCs w:val="22"/>
              </w:rPr>
              <w:t xml:space="preserve">Stavrou A, Evans RJ, </w:t>
            </w:r>
            <w:proofErr w:type="spellStart"/>
            <w:r w:rsidRPr="00967C74">
              <w:rPr>
                <w:rFonts w:asciiTheme="minorHAnsi" w:hAnsiTheme="minorHAnsi" w:cstheme="minorHAnsi"/>
                <w:b/>
                <w:color w:val="000000"/>
                <w:sz w:val="22"/>
                <w:szCs w:val="22"/>
              </w:rPr>
              <w:t>Schmid</w:t>
            </w:r>
            <w:proofErr w:type="spellEnd"/>
            <w:r w:rsidRPr="00967C74">
              <w:rPr>
                <w:rFonts w:asciiTheme="minorHAnsi" w:hAnsiTheme="minorHAnsi" w:cstheme="minorHAnsi"/>
                <w:b/>
                <w:color w:val="000000"/>
                <w:sz w:val="22"/>
                <w:szCs w:val="22"/>
              </w:rPr>
              <w:t xml:space="preserve"> R</w:t>
            </w:r>
            <w:r w:rsidRPr="00967C74">
              <w:rPr>
                <w:rFonts w:asciiTheme="minorHAnsi" w:hAnsiTheme="minorHAnsi" w:cstheme="minorHAnsi"/>
                <w:color w:val="000000"/>
                <w:sz w:val="22"/>
                <w:szCs w:val="22"/>
              </w:rPr>
              <w:t xml:space="preserve"> (2020). </w:t>
            </w:r>
            <w:proofErr w:type="spellStart"/>
            <w:r w:rsidRPr="00967C74">
              <w:rPr>
                <w:rFonts w:asciiTheme="minorHAnsi" w:hAnsiTheme="minorHAnsi" w:cstheme="minorHAnsi"/>
                <w:color w:val="000000"/>
                <w:sz w:val="22"/>
                <w:szCs w:val="22"/>
              </w:rPr>
              <w:t>Biochem</w:t>
            </w:r>
            <w:proofErr w:type="spellEnd"/>
            <w:r w:rsidRPr="00967C74">
              <w:rPr>
                <w:rFonts w:asciiTheme="minorHAnsi" w:hAnsiTheme="minorHAnsi" w:cstheme="minorHAnsi"/>
                <w:color w:val="000000"/>
                <w:sz w:val="22"/>
                <w:szCs w:val="22"/>
              </w:rPr>
              <w:t xml:space="preserve"> </w:t>
            </w:r>
            <w:proofErr w:type="spellStart"/>
            <w:r w:rsidRPr="00967C74">
              <w:rPr>
                <w:rFonts w:asciiTheme="minorHAnsi" w:hAnsiTheme="minorHAnsi" w:cstheme="minorHAnsi"/>
                <w:color w:val="000000"/>
                <w:sz w:val="22"/>
                <w:szCs w:val="22"/>
              </w:rPr>
              <w:t>Biophys</w:t>
            </w:r>
            <w:proofErr w:type="spellEnd"/>
            <w:r w:rsidRPr="00967C74">
              <w:rPr>
                <w:rFonts w:asciiTheme="minorHAnsi" w:hAnsiTheme="minorHAnsi" w:cstheme="minorHAnsi"/>
                <w:color w:val="000000"/>
                <w:sz w:val="22"/>
                <w:szCs w:val="22"/>
              </w:rPr>
              <w:t xml:space="preserve"> Res Com. 523, 190-195.</w:t>
            </w:r>
          </w:p>
          <w:p w14:paraId="57AB4337" w14:textId="77777777" w:rsidR="00967C74" w:rsidRPr="00967C74" w:rsidRDefault="00967C74" w:rsidP="00967C74">
            <w:pPr>
              <w:pStyle w:val="NormalWeb"/>
              <w:rPr>
                <w:rFonts w:asciiTheme="minorHAnsi" w:hAnsiTheme="minorHAnsi" w:cstheme="minorHAnsi"/>
                <w:color w:val="000000"/>
                <w:sz w:val="22"/>
                <w:szCs w:val="22"/>
              </w:rPr>
            </w:pPr>
            <w:proofErr w:type="spellStart"/>
            <w:r w:rsidRPr="00967C74">
              <w:rPr>
                <w:rFonts w:asciiTheme="minorHAnsi" w:hAnsiTheme="minorHAnsi" w:cstheme="minorHAnsi"/>
                <w:color w:val="000000"/>
                <w:sz w:val="22"/>
                <w:szCs w:val="22"/>
              </w:rPr>
              <w:t>Dayel</w:t>
            </w:r>
            <w:proofErr w:type="spellEnd"/>
            <w:r w:rsidRPr="00967C74">
              <w:rPr>
                <w:rFonts w:asciiTheme="minorHAnsi" w:hAnsiTheme="minorHAnsi" w:cstheme="minorHAnsi"/>
                <w:color w:val="000000"/>
                <w:sz w:val="22"/>
                <w:szCs w:val="22"/>
              </w:rPr>
              <w:t xml:space="preserve"> AB, Evans RJ, </w:t>
            </w:r>
            <w:r w:rsidRPr="00967C74">
              <w:rPr>
                <w:rFonts w:asciiTheme="minorHAnsi" w:hAnsiTheme="minorHAnsi" w:cstheme="minorHAnsi"/>
                <w:b/>
                <w:color w:val="000000"/>
                <w:sz w:val="22"/>
                <w:szCs w:val="22"/>
              </w:rPr>
              <w:t xml:space="preserve">R </w:t>
            </w:r>
            <w:proofErr w:type="spellStart"/>
            <w:r w:rsidRPr="00967C74">
              <w:rPr>
                <w:rFonts w:asciiTheme="minorHAnsi" w:hAnsiTheme="minorHAnsi" w:cstheme="minorHAnsi"/>
                <w:b/>
                <w:color w:val="000000"/>
                <w:sz w:val="22"/>
                <w:szCs w:val="22"/>
              </w:rPr>
              <w:t>Schmid</w:t>
            </w:r>
            <w:proofErr w:type="spellEnd"/>
            <w:r w:rsidRPr="00967C74">
              <w:rPr>
                <w:rFonts w:asciiTheme="minorHAnsi" w:hAnsiTheme="minorHAnsi" w:cstheme="minorHAnsi"/>
                <w:color w:val="000000"/>
                <w:sz w:val="22"/>
                <w:szCs w:val="22"/>
              </w:rPr>
              <w:t xml:space="preserve"> R (2019) Mol. Pharm. 96, 355-363.</w:t>
            </w:r>
          </w:p>
          <w:p w14:paraId="603E8991" w14:textId="77777777" w:rsidR="00967C74" w:rsidRPr="00967C74" w:rsidRDefault="00967C74" w:rsidP="00967C74">
            <w:pPr>
              <w:pStyle w:val="NormalWeb"/>
              <w:rPr>
                <w:rFonts w:asciiTheme="minorHAnsi" w:hAnsiTheme="minorHAnsi" w:cstheme="minorHAnsi"/>
                <w:color w:val="000000"/>
                <w:sz w:val="22"/>
                <w:szCs w:val="22"/>
              </w:rPr>
            </w:pPr>
            <w:proofErr w:type="spellStart"/>
            <w:r w:rsidRPr="00967C74">
              <w:rPr>
                <w:rFonts w:asciiTheme="minorHAnsi" w:hAnsiTheme="minorHAnsi" w:cstheme="minorHAnsi"/>
                <w:b/>
                <w:color w:val="000000"/>
                <w:sz w:val="22"/>
                <w:szCs w:val="22"/>
              </w:rPr>
              <w:t>Schmid</w:t>
            </w:r>
            <w:proofErr w:type="spellEnd"/>
            <w:r w:rsidRPr="00967C74">
              <w:rPr>
                <w:rFonts w:asciiTheme="minorHAnsi" w:hAnsiTheme="minorHAnsi" w:cstheme="minorHAnsi"/>
                <w:b/>
                <w:color w:val="000000"/>
                <w:sz w:val="22"/>
                <w:szCs w:val="22"/>
              </w:rPr>
              <w:t xml:space="preserve"> R</w:t>
            </w:r>
            <w:r w:rsidRPr="00967C74">
              <w:rPr>
                <w:rFonts w:asciiTheme="minorHAnsi" w:hAnsiTheme="minorHAnsi" w:cstheme="minorHAnsi"/>
                <w:color w:val="000000"/>
                <w:sz w:val="22"/>
                <w:szCs w:val="22"/>
              </w:rPr>
              <w:t>, RJ Evans RJ (2019) Ann. Rev. Physiol. 81, 43-62.</w:t>
            </w:r>
          </w:p>
          <w:p w14:paraId="5A3071CA" w14:textId="77777777" w:rsidR="00967C74" w:rsidRPr="00967C74" w:rsidRDefault="00967C74" w:rsidP="00967C74">
            <w:pPr>
              <w:pStyle w:val="NormalWeb"/>
              <w:rPr>
                <w:rFonts w:asciiTheme="minorHAnsi" w:hAnsiTheme="minorHAnsi" w:cstheme="minorHAnsi"/>
                <w:color w:val="000000"/>
                <w:sz w:val="22"/>
                <w:szCs w:val="22"/>
              </w:rPr>
            </w:pPr>
            <w:r w:rsidRPr="00967C74">
              <w:rPr>
                <w:rFonts w:asciiTheme="minorHAnsi" w:hAnsiTheme="minorHAnsi" w:cstheme="minorHAnsi"/>
                <w:color w:val="000000"/>
                <w:sz w:val="22"/>
                <w:szCs w:val="22"/>
              </w:rPr>
              <w:t xml:space="preserve">Allsopp RC, </w:t>
            </w:r>
            <w:proofErr w:type="spellStart"/>
            <w:r w:rsidRPr="00967C74">
              <w:rPr>
                <w:rFonts w:asciiTheme="minorHAnsi" w:hAnsiTheme="minorHAnsi" w:cstheme="minorHAnsi"/>
                <w:color w:val="000000"/>
                <w:sz w:val="22"/>
                <w:szCs w:val="22"/>
              </w:rPr>
              <w:t>Dayl</w:t>
            </w:r>
            <w:proofErr w:type="spellEnd"/>
            <w:r w:rsidRPr="00967C74">
              <w:rPr>
                <w:rFonts w:asciiTheme="minorHAnsi" w:hAnsiTheme="minorHAnsi" w:cstheme="minorHAnsi"/>
                <w:color w:val="000000"/>
                <w:sz w:val="22"/>
                <w:szCs w:val="22"/>
              </w:rPr>
              <w:t xml:space="preserve"> S, </w:t>
            </w:r>
            <w:r w:rsidRPr="00967C74">
              <w:rPr>
                <w:rFonts w:asciiTheme="minorHAnsi" w:hAnsiTheme="minorHAnsi" w:cstheme="minorHAnsi"/>
                <w:b/>
                <w:color w:val="000000"/>
                <w:sz w:val="22"/>
                <w:szCs w:val="22"/>
              </w:rPr>
              <w:t xml:space="preserve">R </w:t>
            </w:r>
            <w:proofErr w:type="spellStart"/>
            <w:r w:rsidRPr="00967C74">
              <w:rPr>
                <w:rFonts w:asciiTheme="minorHAnsi" w:hAnsiTheme="minorHAnsi" w:cstheme="minorHAnsi"/>
                <w:b/>
                <w:color w:val="000000"/>
                <w:sz w:val="22"/>
                <w:szCs w:val="22"/>
              </w:rPr>
              <w:t>Schmid</w:t>
            </w:r>
            <w:proofErr w:type="spellEnd"/>
            <w:r w:rsidRPr="00967C74">
              <w:rPr>
                <w:rFonts w:asciiTheme="minorHAnsi" w:hAnsiTheme="minorHAnsi" w:cstheme="minorHAnsi"/>
                <w:b/>
                <w:color w:val="000000"/>
                <w:sz w:val="22"/>
                <w:szCs w:val="22"/>
              </w:rPr>
              <w:t xml:space="preserve"> R</w:t>
            </w:r>
            <w:r w:rsidRPr="00967C74">
              <w:rPr>
                <w:rFonts w:asciiTheme="minorHAnsi" w:hAnsiTheme="minorHAnsi" w:cstheme="minorHAnsi"/>
                <w:color w:val="000000"/>
                <w:sz w:val="22"/>
                <w:szCs w:val="22"/>
              </w:rPr>
              <w:t>, Evans RJ (2017) Sci. Rep. 7, 1-12</w:t>
            </w:r>
          </w:p>
          <w:p w14:paraId="32895B26" w14:textId="1CEC5F3C"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55BD"/>
    <w:multiLevelType w:val="hybridMultilevel"/>
    <w:tmpl w:val="EAA2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7D5EE0"/>
    <w:rsid w:val="00967C74"/>
    <w:rsid w:val="00B97AE6"/>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C74"/>
    <w:rPr>
      <w:color w:val="0563C1" w:themeColor="hyperlink"/>
      <w:u w:val="single"/>
    </w:rPr>
  </w:style>
  <w:style w:type="paragraph" w:styleId="NormalWeb">
    <w:name w:val="Normal (Web)"/>
    <w:basedOn w:val="Normal"/>
    <w:uiPriority w:val="99"/>
    <w:semiHidden/>
    <w:unhideWhenUsed/>
    <w:rsid w:val="00967C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67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12@leicester.ac.uk" TargetMode="External"/><Relationship Id="rId5" Type="http://schemas.openxmlformats.org/officeDocument/2006/relationships/hyperlink" Target="mailto:rs206@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4</cp:revision>
  <dcterms:created xsi:type="dcterms:W3CDTF">2022-11-04T09:51:00Z</dcterms:created>
  <dcterms:modified xsi:type="dcterms:W3CDTF">2022-11-08T15:31:00Z</dcterms:modified>
</cp:coreProperties>
</file>