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5B4C190" w:rsidR="00066C81" w:rsidRPr="00066C81" w:rsidRDefault="007D0518" w:rsidP="00066C81">
            <w:r w:rsidRPr="007D0518">
              <w:t>Dr Emma Redman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4D4CC444" w:rsidR="00066C81" w:rsidRPr="00066C81" w:rsidRDefault="007D0518" w:rsidP="00066C81">
            <w:r w:rsidRPr="007D0518">
              <w:t>Health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3D78FA46" w:rsidR="00172FB3" w:rsidRPr="00066C81" w:rsidRDefault="007D0518" w:rsidP="00066C81">
            <w:hyperlink r:id="rId5" w:history="1">
              <w:r w:rsidRPr="00A07E01">
                <w:rPr>
                  <w:rStyle w:val="Hyperlink"/>
                </w:rPr>
                <w:t>emma.redman@leicester.ac.uk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046C9131" w:rsidR="00066C81" w:rsidRDefault="007D0518" w:rsidP="00ED69E6">
            <w:r w:rsidRPr="007D0518">
              <w:t>Prof Tom Yates</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1AC65DB1" w:rsidR="00066C81" w:rsidRDefault="007D0518" w:rsidP="00ED69E6">
            <w:r w:rsidRPr="007D0518">
              <w:t>Health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2E243B6F" w:rsidR="00172FB3" w:rsidRDefault="007D0518" w:rsidP="00ED69E6">
            <w:hyperlink r:id="rId6" w:history="1">
              <w:r w:rsidRPr="00A07E01">
                <w:rPr>
                  <w:rStyle w:val="Hyperlink"/>
                </w:rPr>
                <w:t>ty20@leicester.ac.uk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34328C83" w:rsidR="00066C81" w:rsidRDefault="007D0518"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08E86BF2" w:rsidR="00066C81" w:rsidRDefault="007D0518" w:rsidP="00ED69E6">
            <w:r w:rsidRPr="007D0518">
              <w:t>Tackling the lack of diversity in research: Exploring weight loss approaches to reduce health inequalities in an ageing South Asian population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6F247FD7"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333333"/>
                <w:sz w:val="22"/>
                <w:szCs w:val="22"/>
                <w:shd w:val="clear" w:color="auto" w:fill="FCFCFC"/>
              </w:rPr>
              <w:t xml:space="preserve">In South Asian communities, a substantially lower body mass index (BMI) and waist circumference confer equivalent health risk factor profiles to white Europeans (WE), potentially because of a more centralised distribution of body fat </w:t>
            </w:r>
            <w:r>
              <w:rPr>
                <w:rStyle w:val="normaltextrun"/>
                <w:rFonts w:ascii="Calibri" w:hAnsi="Calibri" w:cs="Calibri"/>
                <w:color w:val="000000"/>
                <w:sz w:val="22"/>
                <w:szCs w:val="22"/>
                <w:shd w:val="clear" w:color="auto" w:fill="E1E3E6"/>
              </w:rPr>
              <w:t>(Patel et al. 2017; Paul et al. 2017)</w:t>
            </w:r>
            <w:r>
              <w:rPr>
                <w:rStyle w:val="normaltextrun"/>
                <w:rFonts w:ascii="Calibri" w:hAnsi="Calibri" w:cs="Calibri"/>
                <w:color w:val="333333"/>
                <w:sz w:val="22"/>
                <w:szCs w:val="22"/>
                <w:shd w:val="clear" w:color="auto" w:fill="FCFCFC"/>
              </w:rPr>
              <w:t xml:space="preserve">.  </w:t>
            </w:r>
            <w:r>
              <w:rPr>
                <w:rStyle w:val="normaltextrun"/>
                <w:rFonts w:ascii="Calibri" w:hAnsi="Calibri" w:cs="Calibri"/>
                <w:color w:val="383636"/>
                <w:sz w:val="22"/>
                <w:szCs w:val="22"/>
                <w:shd w:val="clear" w:color="auto" w:fill="FFFFFF"/>
              </w:rPr>
              <w:t xml:space="preserve">While the mechanisms underpinning this increased risk are diverse, complex, and not fully understood, greater insulin resistance appears to constitute a prominent contributing factor </w:t>
            </w:r>
            <w:r>
              <w:rPr>
                <w:rStyle w:val="normaltextrun"/>
                <w:rFonts w:ascii="Calibri" w:hAnsi="Calibri" w:cs="Calibri"/>
                <w:color w:val="000000"/>
                <w:sz w:val="22"/>
                <w:szCs w:val="22"/>
                <w:shd w:val="clear" w:color="auto" w:fill="E1E3E6"/>
              </w:rPr>
              <w:t>(</w:t>
            </w:r>
            <w:proofErr w:type="spellStart"/>
            <w:r>
              <w:rPr>
                <w:rStyle w:val="normaltextrun"/>
                <w:rFonts w:ascii="Calibri" w:hAnsi="Calibri" w:cs="Calibri"/>
                <w:color w:val="000000"/>
                <w:sz w:val="22"/>
                <w:szCs w:val="22"/>
                <w:shd w:val="clear" w:color="auto" w:fill="E1E3E6"/>
              </w:rPr>
              <w:t>Sattar</w:t>
            </w:r>
            <w:proofErr w:type="spellEnd"/>
            <w:r>
              <w:rPr>
                <w:rStyle w:val="normaltextrun"/>
                <w:rFonts w:ascii="Calibri" w:hAnsi="Calibri" w:cs="Calibri"/>
                <w:color w:val="000000"/>
                <w:sz w:val="22"/>
                <w:szCs w:val="22"/>
                <w:shd w:val="clear" w:color="auto" w:fill="E1E3E6"/>
              </w:rPr>
              <w:t xml:space="preserve"> and Gill 2015; </w:t>
            </w:r>
            <w:proofErr w:type="spellStart"/>
            <w:r>
              <w:rPr>
                <w:rStyle w:val="normaltextrun"/>
                <w:rFonts w:ascii="Calibri" w:hAnsi="Calibri" w:cs="Calibri"/>
                <w:color w:val="000000"/>
                <w:sz w:val="22"/>
                <w:szCs w:val="22"/>
                <w:shd w:val="clear" w:color="auto" w:fill="E1E3E6"/>
              </w:rPr>
              <w:t>Angelantonio</w:t>
            </w:r>
            <w:proofErr w:type="spellEnd"/>
            <w:r>
              <w:rPr>
                <w:rStyle w:val="normaltextrun"/>
                <w:rFonts w:ascii="Calibri" w:hAnsi="Calibri" w:cs="Calibri"/>
                <w:color w:val="000000"/>
                <w:sz w:val="22"/>
                <w:szCs w:val="22"/>
                <w:shd w:val="clear" w:color="auto" w:fill="E1E3E6"/>
              </w:rPr>
              <w:t xml:space="preserve"> et al. 2016)</w:t>
            </w:r>
            <w:r>
              <w:rPr>
                <w:rStyle w:val="normaltextrun"/>
                <w:rFonts w:ascii="Calibri" w:hAnsi="Calibri" w:cs="Calibri"/>
                <w:color w:val="383636"/>
                <w:sz w:val="22"/>
                <w:szCs w:val="22"/>
                <w:shd w:val="clear" w:color="auto" w:fill="FFFFFF"/>
              </w:rPr>
              <w:t xml:space="preserve">.  </w:t>
            </w:r>
            <w:r>
              <w:rPr>
                <w:rStyle w:val="normaltextrun"/>
                <w:rFonts w:ascii="Calibri" w:hAnsi="Calibri" w:cs="Calibri"/>
                <w:color w:val="000000"/>
                <w:sz w:val="22"/>
                <w:szCs w:val="22"/>
              </w:rPr>
              <w:t xml:space="preserve">Added to this, aging in adults is associated with weight gain and changes in body composition, with body fat increasing by an average of 1% per year in both men and women from the age of 40 years (Palmer and Jensen 2022). </w:t>
            </w:r>
            <w:r>
              <w:rPr>
                <w:rStyle w:val="normaltextrun"/>
                <w:rFonts w:ascii="Calibri" w:hAnsi="Calibri" w:cs="Calibri"/>
                <w:color w:val="2E2E2E"/>
                <w:sz w:val="22"/>
                <w:szCs w:val="22"/>
              </w:rPr>
              <w:t xml:space="preserve">South Asian populations have also been noted to engage in less physical activity and have different physical function/capability (measured via simple to measure behaviours such as walking pace), and lower cardiorespiratory fitness </w:t>
            </w:r>
            <w:r>
              <w:rPr>
                <w:rStyle w:val="normaltextrun"/>
                <w:rFonts w:ascii="Calibri" w:hAnsi="Calibri" w:cs="Calibri"/>
                <w:color w:val="000000"/>
                <w:sz w:val="22"/>
                <w:szCs w:val="22"/>
                <w:shd w:val="clear" w:color="auto" w:fill="E1E3E6"/>
              </w:rPr>
              <w:t>(</w:t>
            </w:r>
            <w:proofErr w:type="spellStart"/>
            <w:r>
              <w:rPr>
                <w:rStyle w:val="normaltextrun"/>
                <w:rFonts w:ascii="Calibri" w:hAnsi="Calibri" w:cs="Calibri"/>
                <w:color w:val="000000"/>
                <w:sz w:val="22"/>
                <w:szCs w:val="22"/>
                <w:shd w:val="clear" w:color="auto" w:fill="E1E3E6"/>
              </w:rPr>
              <w:t>Ghouri</w:t>
            </w:r>
            <w:proofErr w:type="spellEnd"/>
            <w:r>
              <w:rPr>
                <w:rStyle w:val="normaltextrun"/>
                <w:rFonts w:ascii="Calibri" w:hAnsi="Calibri" w:cs="Calibri"/>
                <w:color w:val="000000"/>
                <w:sz w:val="22"/>
                <w:szCs w:val="22"/>
                <w:shd w:val="clear" w:color="auto" w:fill="E1E3E6"/>
              </w:rPr>
              <w:t xml:space="preserve"> et al. 2013)</w:t>
            </w:r>
            <w:r>
              <w:rPr>
                <w:rStyle w:val="normaltextrun"/>
                <w:rFonts w:ascii="Calibri" w:hAnsi="Calibri" w:cs="Calibri"/>
                <w:color w:val="2E2E2E"/>
                <w:sz w:val="22"/>
                <w:szCs w:val="22"/>
              </w:rPr>
              <w:t>. </w:t>
            </w:r>
            <w:r>
              <w:rPr>
                <w:rStyle w:val="eop"/>
                <w:rFonts w:ascii="Calibri" w:hAnsi="Calibri" w:cs="Calibri"/>
                <w:color w:val="2E2E2E"/>
                <w:sz w:val="22"/>
                <w:szCs w:val="22"/>
              </w:rPr>
              <w:t> </w:t>
            </w:r>
          </w:p>
          <w:p w14:paraId="664957A2"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2E2E2E"/>
                <w:sz w:val="22"/>
                <w:szCs w:val="22"/>
              </w:rPr>
              <w:t> </w:t>
            </w:r>
          </w:p>
          <w:p w14:paraId="26B3DDDC"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Together, south Asians compared to WE at a similar BMI are placed at a significant disadvantage and potentially accelerated impacts of body composition ageing </w:t>
            </w:r>
            <w:r>
              <w:rPr>
                <w:rStyle w:val="normaltextrun"/>
                <w:rFonts w:ascii="Calibri" w:hAnsi="Calibri" w:cs="Calibri"/>
                <w:color w:val="000000"/>
                <w:sz w:val="22"/>
                <w:szCs w:val="22"/>
                <w:shd w:val="clear" w:color="auto" w:fill="E1E3E6"/>
              </w:rPr>
              <w:t>(</w:t>
            </w:r>
            <w:proofErr w:type="spellStart"/>
            <w:r>
              <w:rPr>
                <w:rStyle w:val="normaltextrun"/>
                <w:rFonts w:ascii="Calibri" w:hAnsi="Calibri" w:cs="Calibri"/>
                <w:color w:val="000000"/>
                <w:sz w:val="22"/>
                <w:szCs w:val="22"/>
                <w:shd w:val="clear" w:color="auto" w:fill="E1E3E6"/>
              </w:rPr>
              <w:t>Wulan</w:t>
            </w:r>
            <w:proofErr w:type="spellEnd"/>
            <w:r>
              <w:rPr>
                <w:rStyle w:val="normaltextrun"/>
                <w:rFonts w:ascii="Calibri" w:hAnsi="Calibri" w:cs="Calibri"/>
                <w:color w:val="000000"/>
                <w:sz w:val="22"/>
                <w:szCs w:val="22"/>
                <w:shd w:val="clear" w:color="auto" w:fill="E1E3E6"/>
              </w:rPr>
              <w:t xml:space="preserve">, </w:t>
            </w:r>
            <w:proofErr w:type="spellStart"/>
            <w:r>
              <w:rPr>
                <w:rStyle w:val="normaltextrun"/>
                <w:rFonts w:ascii="Calibri" w:hAnsi="Calibri" w:cs="Calibri"/>
                <w:color w:val="000000"/>
                <w:sz w:val="22"/>
                <w:szCs w:val="22"/>
                <w:shd w:val="clear" w:color="auto" w:fill="E1E3E6"/>
              </w:rPr>
              <w:t>Westerterp</w:t>
            </w:r>
            <w:proofErr w:type="spellEnd"/>
            <w:r>
              <w:rPr>
                <w:rStyle w:val="normaltextrun"/>
                <w:rFonts w:ascii="Calibri" w:hAnsi="Calibri" w:cs="Calibri"/>
                <w:color w:val="000000"/>
                <w:sz w:val="22"/>
                <w:szCs w:val="22"/>
                <w:shd w:val="clear" w:color="auto" w:fill="E1E3E6"/>
              </w:rPr>
              <w:t xml:space="preserve">, and </w:t>
            </w:r>
            <w:proofErr w:type="spellStart"/>
            <w:r>
              <w:rPr>
                <w:rStyle w:val="normaltextrun"/>
                <w:rFonts w:ascii="Calibri" w:hAnsi="Calibri" w:cs="Calibri"/>
                <w:color w:val="000000"/>
                <w:sz w:val="22"/>
                <w:szCs w:val="22"/>
                <w:shd w:val="clear" w:color="auto" w:fill="E1E3E6"/>
              </w:rPr>
              <w:t>Plasqui</w:t>
            </w:r>
            <w:proofErr w:type="spellEnd"/>
            <w:r>
              <w:rPr>
                <w:rStyle w:val="normaltextrun"/>
                <w:rFonts w:ascii="Calibri" w:hAnsi="Calibri" w:cs="Calibri"/>
                <w:color w:val="000000"/>
                <w:sz w:val="22"/>
                <w:szCs w:val="22"/>
                <w:shd w:val="clear" w:color="auto" w:fill="E1E3E6"/>
              </w:rPr>
              <w:t xml:space="preserve"> 2010; Kuk et al. 2009)</w:t>
            </w:r>
            <w:r>
              <w:rPr>
                <w:rStyle w:val="normaltextrun"/>
                <w:rFonts w:ascii="Calibri" w:hAnsi="Calibri" w:cs="Calibri"/>
                <w:color w:val="000000"/>
                <w:sz w:val="22"/>
                <w:szCs w:val="22"/>
              </w:rPr>
              <w:t xml:space="preserve">. This observation is particularly clear when considering </w:t>
            </w:r>
            <w:proofErr w:type="spellStart"/>
            <w:r>
              <w:rPr>
                <w:rStyle w:val="normaltextrun"/>
                <w:rFonts w:ascii="Calibri" w:hAnsi="Calibri" w:cs="Calibri"/>
                <w:color w:val="000000"/>
                <w:sz w:val="22"/>
                <w:szCs w:val="22"/>
              </w:rPr>
              <w:t>sarcopenia</w:t>
            </w:r>
            <w:proofErr w:type="spellEnd"/>
            <w:r>
              <w:rPr>
                <w:rStyle w:val="normaltextrun"/>
                <w:rFonts w:ascii="Calibri" w:hAnsi="Calibri" w:cs="Calibri"/>
                <w:color w:val="000000"/>
                <w:sz w:val="22"/>
                <w:szCs w:val="22"/>
              </w:rPr>
              <w:t xml:space="preserve">, where there are unambiguous ethnic differences for both south Asian men and women </w:t>
            </w:r>
            <w:r>
              <w:rPr>
                <w:rStyle w:val="normaltextrun"/>
                <w:rFonts w:ascii="Calibri" w:hAnsi="Calibri" w:cs="Calibri"/>
                <w:color w:val="000000"/>
                <w:sz w:val="22"/>
                <w:szCs w:val="22"/>
                <w:shd w:val="clear" w:color="auto" w:fill="E1E3E6"/>
              </w:rPr>
              <w:t>(</w:t>
            </w:r>
            <w:proofErr w:type="spellStart"/>
            <w:r>
              <w:rPr>
                <w:rStyle w:val="normaltextrun"/>
                <w:rFonts w:ascii="Calibri" w:hAnsi="Calibri" w:cs="Calibri"/>
                <w:color w:val="000000"/>
                <w:sz w:val="22"/>
                <w:szCs w:val="22"/>
                <w:shd w:val="clear" w:color="auto" w:fill="E1E3E6"/>
              </w:rPr>
              <w:t>Dorhout</w:t>
            </w:r>
            <w:proofErr w:type="spellEnd"/>
            <w:r>
              <w:rPr>
                <w:rStyle w:val="normaltextrun"/>
                <w:rFonts w:ascii="Calibri" w:hAnsi="Calibri" w:cs="Calibri"/>
                <w:color w:val="000000"/>
                <w:sz w:val="22"/>
                <w:szCs w:val="22"/>
                <w:shd w:val="clear" w:color="auto" w:fill="E1E3E6"/>
              </w:rPr>
              <w:t xml:space="preserve"> et al. 2022)</w:t>
            </w:r>
            <w:r>
              <w:rPr>
                <w:rStyle w:val="normaltextrun"/>
                <w:rFonts w:ascii="Calibri" w:hAnsi="Calibri" w:cs="Calibri"/>
                <w:color w:val="2E2E2E"/>
                <w:sz w:val="22"/>
                <w:szCs w:val="22"/>
              </w:rPr>
              <w:t>. In order to better understand and target inequalities related to accelerated ageing and adverse body compositions in South Asian populations, we want to explore how to optimise dietary and weight loss interventions in this population. </w:t>
            </w:r>
            <w:r>
              <w:rPr>
                <w:rStyle w:val="eop"/>
                <w:rFonts w:ascii="Calibri" w:hAnsi="Calibri" w:cs="Calibri"/>
                <w:color w:val="2E2E2E"/>
                <w:sz w:val="22"/>
                <w:szCs w:val="22"/>
              </w:rPr>
              <w:t> </w:t>
            </w:r>
          </w:p>
          <w:p w14:paraId="5D530C00"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2E2E2E"/>
                <w:sz w:val="22"/>
                <w:szCs w:val="22"/>
              </w:rPr>
              <w:t> </w:t>
            </w:r>
          </w:p>
          <w:p w14:paraId="560035FD"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2E2E2E"/>
                <w:sz w:val="22"/>
                <w:szCs w:val="22"/>
              </w:rPr>
              <w:t>The work will focus on two distinct research questions and methodologies;</w:t>
            </w:r>
            <w:r>
              <w:rPr>
                <w:rStyle w:val="eop"/>
                <w:rFonts w:ascii="Calibri" w:hAnsi="Calibri" w:cs="Calibri"/>
                <w:color w:val="2E2E2E"/>
                <w:sz w:val="22"/>
                <w:szCs w:val="22"/>
              </w:rPr>
              <w:t> </w:t>
            </w:r>
          </w:p>
          <w:p w14:paraId="61240A84" w14:textId="77777777" w:rsidR="007D0518" w:rsidRDefault="007D0518" w:rsidP="007D0518">
            <w:pPr>
              <w:pStyle w:val="paragraph"/>
              <w:numPr>
                <w:ilvl w:val="0"/>
                <w:numId w:val="1"/>
              </w:numPr>
              <w:spacing w:before="0" w:beforeAutospacing="0" w:after="0" w:afterAutospacing="0"/>
              <w:ind w:left="0" w:firstLine="720"/>
              <w:textAlignment w:val="baseline"/>
              <w:rPr>
                <w:rFonts w:ascii="Calibri" w:hAnsi="Calibri" w:cs="Calibri"/>
                <w:color w:val="000000"/>
                <w:sz w:val="22"/>
                <w:szCs w:val="22"/>
              </w:rPr>
            </w:pPr>
            <w:r>
              <w:rPr>
                <w:rStyle w:val="normaltextrun"/>
                <w:rFonts w:ascii="Calibri" w:hAnsi="Calibri" w:cs="Calibri"/>
                <w:color w:val="2E2E2E"/>
                <w:sz w:val="22"/>
                <w:szCs w:val="22"/>
              </w:rPr>
              <w:t>How do differences in dietary pattern, composition or quality e.g. macro- and micro-nutrients, and associated biomarkers, explain differences in body composition between South Asian and White Europeans across different age groups (observational research)?</w:t>
            </w:r>
            <w:r>
              <w:rPr>
                <w:rStyle w:val="eop"/>
                <w:rFonts w:ascii="Calibri" w:hAnsi="Calibri" w:cs="Calibri"/>
                <w:color w:val="2E2E2E"/>
                <w:sz w:val="22"/>
                <w:szCs w:val="22"/>
              </w:rPr>
              <w:t> </w:t>
            </w:r>
          </w:p>
          <w:p w14:paraId="3EB46177" w14:textId="77777777" w:rsidR="007D0518" w:rsidRDefault="007D0518" w:rsidP="007D0518">
            <w:pPr>
              <w:pStyle w:val="paragraph"/>
              <w:numPr>
                <w:ilvl w:val="0"/>
                <w:numId w:val="1"/>
              </w:numPr>
              <w:spacing w:before="0" w:beforeAutospacing="0" w:after="0" w:afterAutospacing="0"/>
              <w:ind w:left="0" w:firstLine="720"/>
              <w:textAlignment w:val="baseline"/>
              <w:rPr>
                <w:rFonts w:ascii="Calibri" w:hAnsi="Calibri" w:cs="Calibri"/>
                <w:color w:val="000000"/>
                <w:sz w:val="22"/>
                <w:szCs w:val="22"/>
              </w:rPr>
            </w:pPr>
            <w:r>
              <w:rPr>
                <w:rStyle w:val="normaltextrun"/>
                <w:rFonts w:ascii="Calibri" w:hAnsi="Calibri" w:cs="Calibri"/>
                <w:color w:val="2E2E2E"/>
                <w:sz w:val="22"/>
                <w:szCs w:val="22"/>
              </w:rPr>
              <w:t xml:space="preserve">How </w:t>
            </w:r>
            <w:proofErr w:type="gramStart"/>
            <w:r>
              <w:rPr>
                <w:rStyle w:val="normaltextrun"/>
                <w:rFonts w:ascii="Calibri" w:hAnsi="Calibri" w:cs="Calibri"/>
                <w:color w:val="2E2E2E"/>
                <w:sz w:val="22"/>
                <w:szCs w:val="22"/>
              </w:rPr>
              <w:t>can dietary intake and physical activity be optimised</w:t>
            </w:r>
            <w:proofErr w:type="gramEnd"/>
            <w:r>
              <w:rPr>
                <w:rStyle w:val="normaltextrun"/>
                <w:rFonts w:ascii="Calibri" w:hAnsi="Calibri" w:cs="Calibri"/>
                <w:color w:val="2E2E2E"/>
                <w:sz w:val="22"/>
                <w:szCs w:val="22"/>
              </w:rPr>
              <w:t xml:space="preserve"> to reverse accelerated body composition aging in South Asian individuals, with and without concurrent weight loss (interventional research)?</w:t>
            </w:r>
            <w:r>
              <w:rPr>
                <w:rStyle w:val="eop"/>
                <w:rFonts w:ascii="Calibri" w:hAnsi="Calibri" w:cs="Calibri"/>
                <w:color w:val="2E2E2E"/>
                <w:sz w:val="22"/>
                <w:szCs w:val="22"/>
              </w:rPr>
              <w:t> </w:t>
            </w:r>
          </w:p>
          <w:p w14:paraId="290BE135"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7CB72F7" w14:textId="77777777" w:rsidR="007D0518" w:rsidRDefault="007D0518" w:rsidP="007D051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Good practice guidance for increasing participation of ethnic minority populations in health research will underpin this studentship </w:t>
            </w:r>
            <w:r>
              <w:rPr>
                <w:rStyle w:val="normaltextrun"/>
                <w:rFonts w:ascii="Calibri" w:hAnsi="Calibri" w:cs="Calibri"/>
                <w:color w:val="000000"/>
                <w:sz w:val="22"/>
                <w:szCs w:val="22"/>
                <w:shd w:val="clear" w:color="auto" w:fill="E1E3E6"/>
              </w:rPr>
              <w:t>(</w:t>
            </w:r>
            <w:proofErr w:type="spellStart"/>
            <w:r>
              <w:rPr>
                <w:rStyle w:val="normaltextrun"/>
                <w:rFonts w:ascii="Calibri" w:hAnsi="Calibri" w:cs="Calibri"/>
                <w:color w:val="000000"/>
                <w:sz w:val="22"/>
                <w:szCs w:val="22"/>
                <w:shd w:val="clear" w:color="auto" w:fill="E1E3E6"/>
              </w:rPr>
              <w:t>Routen</w:t>
            </w:r>
            <w:proofErr w:type="spellEnd"/>
            <w:r>
              <w:rPr>
                <w:rStyle w:val="normaltextrun"/>
                <w:rFonts w:ascii="Calibri" w:hAnsi="Calibri" w:cs="Calibri"/>
                <w:color w:val="000000"/>
                <w:sz w:val="22"/>
                <w:szCs w:val="22"/>
                <w:shd w:val="clear" w:color="auto" w:fill="E1E3E6"/>
              </w:rPr>
              <w:t xml:space="preserve"> et al. 2022)</w:t>
            </w:r>
            <w:r>
              <w:rPr>
                <w:rStyle w:val="normaltextrun"/>
                <w:rFonts w:ascii="Calibri" w:hAnsi="Calibri" w:cs="Calibri"/>
                <w:color w:val="000000"/>
                <w:sz w:val="22"/>
                <w:szCs w:val="22"/>
              </w:rPr>
              <w:t xml:space="preserve">.  While the PhD student works to ensure high quality evidence </w:t>
            </w:r>
            <w:proofErr w:type="gramStart"/>
            <w:r>
              <w:rPr>
                <w:rStyle w:val="normaltextrun"/>
                <w:rFonts w:ascii="Calibri" w:hAnsi="Calibri" w:cs="Calibri"/>
                <w:color w:val="000000"/>
                <w:sz w:val="22"/>
                <w:szCs w:val="22"/>
              </w:rPr>
              <w:t>is produced</w:t>
            </w:r>
            <w:proofErr w:type="gramEnd"/>
            <w:r>
              <w:rPr>
                <w:rStyle w:val="normaltextrun"/>
                <w:rFonts w:ascii="Calibri" w:hAnsi="Calibri" w:cs="Calibri"/>
                <w:color w:val="000000"/>
                <w:sz w:val="22"/>
                <w:szCs w:val="22"/>
              </w:rPr>
              <w:t xml:space="preserve"> to answer critical questions in bioscience for health, they will develop the skills to ensure research is carried out to reduce rather than increase the inequalities observed for ethnic minority populations, including south Asian communities. Training and mini-projects will include cultural competency, best practice for public engagement and recruitment strategies in ethnic communities.</w:t>
            </w:r>
            <w:r>
              <w:rPr>
                <w:rStyle w:val="eop"/>
                <w:rFonts w:ascii="Calibri" w:hAnsi="Calibri" w:cs="Calibri"/>
                <w:color w:val="000000"/>
                <w:sz w:val="22"/>
                <w:szCs w:val="22"/>
              </w:rPr>
              <w:t> </w:t>
            </w:r>
          </w:p>
          <w:p w14:paraId="23F4853A" w14:textId="38C9BE99" w:rsidR="00172FB3" w:rsidRPr="007D0518" w:rsidRDefault="007D0518" w:rsidP="00ED69E6">
            <w:r>
              <w:t>T</w:t>
            </w:r>
            <w:r w:rsidRPr="007D0518">
              <w:t>echniques that will be undertaken during the project</w:t>
            </w:r>
            <w:r>
              <w:t>:</w:t>
            </w:r>
          </w:p>
          <w:p w14:paraId="2CB58062" w14:textId="62C596FD" w:rsidR="007D0518" w:rsidRDefault="007D0518" w:rsidP="007D0518">
            <w:pPr>
              <w:ind w:left="720" w:hanging="720"/>
              <w:textAlignment w:val="baseline"/>
              <w:rPr>
                <w:rFonts w:asciiTheme="minorHAnsi" w:eastAsia="Times New Roman" w:hAnsiTheme="minorHAnsi" w:cstheme="minorHAnsi"/>
                <w:color w:val="auto"/>
              </w:rPr>
            </w:pPr>
            <w:r w:rsidRPr="007D0518">
              <w:rPr>
                <w:rFonts w:asciiTheme="minorHAnsi" w:eastAsia="Times New Roman" w:hAnsiTheme="minorHAnsi" w:cstheme="minorHAnsi"/>
                <w:color w:val="auto"/>
              </w:rPr>
              <w:t xml:space="preserve">Body composition imaging – use of </w:t>
            </w:r>
            <w:r w:rsidRPr="007D0518">
              <w:rPr>
                <w:rFonts w:asciiTheme="minorHAnsi" w:eastAsia="Times New Roman" w:hAnsiTheme="minorHAnsi" w:cstheme="minorHAnsi"/>
                <w:color w:val="292B2C"/>
                <w:shd w:val="clear" w:color="auto" w:fill="FFFFFF"/>
              </w:rPr>
              <w:t>Dual-energy X-ray absorptiometry</w:t>
            </w:r>
            <w:r w:rsidRPr="007D0518">
              <w:rPr>
                <w:rFonts w:asciiTheme="minorHAnsi" w:eastAsia="Times New Roman" w:hAnsiTheme="minorHAnsi" w:cstheme="minorHAnsi"/>
                <w:color w:val="auto"/>
              </w:rPr>
              <w:t xml:space="preserve"> (DEXA) (https://www.ncbi.nlm.nih.gov/pmc/articles/PMC5659281/) </w:t>
            </w:r>
          </w:p>
          <w:p w14:paraId="513E5382" w14:textId="77777777" w:rsidR="007D0518" w:rsidRPr="007D0518" w:rsidRDefault="007D0518" w:rsidP="007D0518">
            <w:pPr>
              <w:ind w:left="720" w:hanging="720"/>
              <w:textAlignment w:val="baseline"/>
              <w:rPr>
                <w:rFonts w:asciiTheme="minorHAnsi" w:eastAsia="Times New Roman" w:hAnsiTheme="minorHAnsi" w:cstheme="minorHAnsi"/>
                <w:color w:val="auto"/>
              </w:rPr>
            </w:pPr>
          </w:p>
          <w:p w14:paraId="4A0AF835" w14:textId="5F1675C5" w:rsidR="007D0518" w:rsidRDefault="007D0518" w:rsidP="007D0518">
            <w:pPr>
              <w:ind w:left="720" w:hanging="720"/>
              <w:textAlignment w:val="baseline"/>
              <w:rPr>
                <w:rFonts w:asciiTheme="minorHAnsi" w:eastAsia="Times New Roman" w:hAnsiTheme="minorHAnsi" w:cstheme="minorHAnsi"/>
                <w:color w:val="auto"/>
              </w:rPr>
            </w:pPr>
            <w:r w:rsidRPr="007D0518">
              <w:rPr>
                <w:rFonts w:asciiTheme="minorHAnsi" w:eastAsia="Times New Roman" w:hAnsiTheme="minorHAnsi" w:cstheme="minorHAnsi"/>
                <w:color w:val="auto"/>
              </w:rPr>
              <w:t xml:space="preserve">Nutritional and physical activity assessments – use of digital technologies and </w:t>
            </w:r>
            <w:proofErr w:type="gramStart"/>
            <w:r w:rsidRPr="007D0518">
              <w:rPr>
                <w:rFonts w:asciiTheme="minorHAnsi" w:eastAsia="Times New Roman" w:hAnsiTheme="minorHAnsi" w:cstheme="minorHAnsi"/>
                <w:color w:val="auto"/>
              </w:rPr>
              <w:t>24 hour</w:t>
            </w:r>
            <w:proofErr w:type="gramEnd"/>
            <w:r w:rsidRPr="007D0518">
              <w:rPr>
                <w:rFonts w:asciiTheme="minorHAnsi" w:eastAsia="Times New Roman" w:hAnsiTheme="minorHAnsi" w:cstheme="minorHAnsi"/>
                <w:color w:val="auto"/>
              </w:rPr>
              <w:t xml:space="preserve"> monitoring </w:t>
            </w:r>
            <w:proofErr w:type="spellStart"/>
            <w:r w:rsidRPr="007D0518">
              <w:rPr>
                <w:rFonts w:asciiTheme="minorHAnsi" w:eastAsia="Times New Roman" w:hAnsiTheme="minorHAnsi" w:cstheme="minorHAnsi"/>
                <w:color w:val="auto"/>
              </w:rPr>
              <w:t>e.g</w:t>
            </w:r>
            <w:proofErr w:type="spellEnd"/>
            <w:r w:rsidRPr="007D0518">
              <w:rPr>
                <w:rFonts w:asciiTheme="minorHAnsi" w:eastAsia="Times New Roman" w:hAnsiTheme="minorHAnsi" w:cstheme="minorHAnsi"/>
                <w:color w:val="auto"/>
              </w:rPr>
              <w:t xml:space="preserve"> accelerometers. </w:t>
            </w:r>
          </w:p>
          <w:p w14:paraId="7BB0F4B5" w14:textId="77777777" w:rsidR="007D0518" w:rsidRPr="007D0518" w:rsidRDefault="007D0518" w:rsidP="007D0518">
            <w:pPr>
              <w:ind w:left="720" w:hanging="720"/>
              <w:textAlignment w:val="baseline"/>
              <w:rPr>
                <w:rFonts w:asciiTheme="minorHAnsi" w:eastAsia="Times New Roman" w:hAnsiTheme="minorHAnsi" w:cstheme="minorHAnsi"/>
                <w:color w:val="auto"/>
              </w:rPr>
            </w:pPr>
          </w:p>
          <w:p w14:paraId="21E0E378" w14:textId="77777777" w:rsidR="007D0518" w:rsidRPr="007D0518" w:rsidRDefault="007D0518" w:rsidP="007D0518">
            <w:pPr>
              <w:textAlignment w:val="baseline"/>
              <w:rPr>
                <w:rFonts w:asciiTheme="minorHAnsi" w:eastAsia="Times New Roman" w:hAnsiTheme="minorHAnsi" w:cstheme="minorHAnsi"/>
                <w:color w:val="auto"/>
              </w:rPr>
            </w:pPr>
            <w:r w:rsidRPr="007D0518">
              <w:rPr>
                <w:rFonts w:asciiTheme="minorHAnsi" w:eastAsia="Times New Roman" w:hAnsiTheme="minorHAnsi" w:cstheme="minorHAnsi"/>
                <w:color w:val="auto"/>
              </w:rPr>
              <w:t>Cultural competency – adaptation and management of research to ensure accessibility and cultural appropriateness. </w:t>
            </w:r>
          </w:p>
          <w:p w14:paraId="16746ECF" w14:textId="4EA8C468" w:rsidR="002A3685" w:rsidRPr="007D0518" w:rsidRDefault="002A3685" w:rsidP="00ED69E6"/>
          <w:p w14:paraId="1D848FA9" w14:textId="5BB62461" w:rsidR="00172FB3" w:rsidRPr="007D0518" w:rsidRDefault="007D0518" w:rsidP="00ED69E6">
            <w:r w:rsidRPr="007D0518">
              <w:t>BBSRC Strategic Research Priority</w:t>
            </w:r>
            <w:r>
              <w:t xml:space="preserve">: </w:t>
            </w:r>
            <w:r w:rsidRPr="007D0518">
              <w:t>Integrated Understanding of Health</w:t>
            </w:r>
            <w:r>
              <w:t xml:space="preserve"> – Ageing, Diet and Health</w:t>
            </w:r>
          </w:p>
          <w:p w14:paraId="33C79811" w14:textId="398FC27E"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5733A932" w14:textId="77777777" w:rsidR="002A3685" w:rsidRDefault="002A3685" w:rsidP="00E56328">
            <w:pPr>
              <w:rPr>
                <w:b/>
              </w:rPr>
            </w:pPr>
          </w:p>
          <w:p w14:paraId="2AAA2BF5" w14:textId="77777777" w:rsidR="007D0518" w:rsidRDefault="007D0518" w:rsidP="00E56328">
            <w:pPr>
              <w:rPr>
                <w:b/>
              </w:rPr>
            </w:pPr>
          </w:p>
          <w:p w14:paraId="32895B26" w14:textId="73EEC937" w:rsidR="007D0518" w:rsidRDefault="007D0518"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C07"/>
    <w:multiLevelType w:val="multilevel"/>
    <w:tmpl w:val="7096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3F1BA8"/>
    <w:rsid w:val="007D0518"/>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518"/>
    <w:rPr>
      <w:color w:val="0563C1" w:themeColor="hyperlink"/>
      <w:u w:val="single"/>
    </w:rPr>
  </w:style>
  <w:style w:type="paragraph" w:customStyle="1" w:styleId="paragraph">
    <w:name w:val="paragraph"/>
    <w:basedOn w:val="Normal"/>
    <w:rsid w:val="007D051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D0518"/>
  </w:style>
  <w:style w:type="character" w:customStyle="1" w:styleId="eop">
    <w:name w:val="eop"/>
    <w:basedOn w:val="DefaultParagraphFont"/>
    <w:rsid w:val="007D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548">
      <w:bodyDiv w:val="1"/>
      <w:marLeft w:val="0"/>
      <w:marRight w:val="0"/>
      <w:marTop w:val="0"/>
      <w:marBottom w:val="0"/>
      <w:divBdr>
        <w:top w:val="none" w:sz="0" w:space="0" w:color="auto"/>
        <w:left w:val="none" w:sz="0" w:space="0" w:color="auto"/>
        <w:bottom w:val="none" w:sz="0" w:space="0" w:color="auto"/>
        <w:right w:val="none" w:sz="0" w:space="0" w:color="auto"/>
      </w:divBdr>
      <w:divsChild>
        <w:div w:id="462425348">
          <w:marLeft w:val="0"/>
          <w:marRight w:val="0"/>
          <w:marTop w:val="0"/>
          <w:marBottom w:val="0"/>
          <w:divBdr>
            <w:top w:val="none" w:sz="0" w:space="0" w:color="auto"/>
            <w:left w:val="none" w:sz="0" w:space="0" w:color="auto"/>
            <w:bottom w:val="none" w:sz="0" w:space="0" w:color="auto"/>
            <w:right w:val="none" w:sz="0" w:space="0" w:color="auto"/>
          </w:divBdr>
        </w:div>
        <w:div w:id="1572226701">
          <w:marLeft w:val="0"/>
          <w:marRight w:val="0"/>
          <w:marTop w:val="0"/>
          <w:marBottom w:val="0"/>
          <w:divBdr>
            <w:top w:val="none" w:sz="0" w:space="0" w:color="auto"/>
            <w:left w:val="none" w:sz="0" w:space="0" w:color="auto"/>
            <w:bottom w:val="none" w:sz="0" w:space="0" w:color="auto"/>
            <w:right w:val="none" w:sz="0" w:space="0" w:color="auto"/>
          </w:divBdr>
        </w:div>
        <w:div w:id="892548820">
          <w:marLeft w:val="0"/>
          <w:marRight w:val="0"/>
          <w:marTop w:val="0"/>
          <w:marBottom w:val="0"/>
          <w:divBdr>
            <w:top w:val="none" w:sz="0" w:space="0" w:color="auto"/>
            <w:left w:val="none" w:sz="0" w:space="0" w:color="auto"/>
            <w:bottom w:val="none" w:sz="0" w:space="0" w:color="auto"/>
            <w:right w:val="none" w:sz="0" w:space="0" w:color="auto"/>
          </w:divBdr>
        </w:div>
      </w:divsChild>
    </w:div>
    <w:div w:id="352729834">
      <w:bodyDiv w:val="1"/>
      <w:marLeft w:val="0"/>
      <w:marRight w:val="0"/>
      <w:marTop w:val="0"/>
      <w:marBottom w:val="0"/>
      <w:divBdr>
        <w:top w:val="none" w:sz="0" w:space="0" w:color="auto"/>
        <w:left w:val="none" w:sz="0" w:space="0" w:color="auto"/>
        <w:bottom w:val="none" w:sz="0" w:space="0" w:color="auto"/>
        <w:right w:val="none" w:sz="0" w:space="0" w:color="auto"/>
      </w:divBdr>
      <w:divsChild>
        <w:div w:id="952833045">
          <w:marLeft w:val="0"/>
          <w:marRight w:val="0"/>
          <w:marTop w:val="0"/>
          <w:marBottom w:val="0"/>
          <w:divBdr>
            <w:top w:val="none" w:sz="0" w:space="0" w:color="auto"/>
            <w:left w:val="none" w:sz="0" w:space="0" w:color="auto"/>
            <w:bottom w:val="none" w:sz="0" w:space="0" w:color="auto"/>
            <w:right w:val="none" w:sz="0" w:space="0" w:color="auto"/>
          </w:divBdr>
        </w:div>
        <w:div w:id="1723751645">
          <w:marLeft w:val="0"/>
          <w:marRight w:val="0"/>
          <w:marTop w:val="0"/>
          <w:marBottom w:val="0"/>
          <w:divBdr>
            <w:top w:val="none" w:sz="0" w:space="0" w:color="auto"/>
            <w:left w:val="none" w:sz="0" w:space="0" w:color="auto"/>
            <w:bottom w:val="none" w:sz="0" w:space="0" w:color="auto"/>
            <w:right w:val="none" w:sz="0" w:space="0" w:color="auto"/>
          </w:divBdr>
        </w:div>
        <w:div w:id="623777718">
          <w:marLeft w:val="0"/>
          <w:marRight w:val="0"/>
          <w:marTop w:val="0"/>
          <w:marBottom w:val="0"/>
          <w:divBdr>
            <w:top w:val="none" w:sz="0" w:space="0" w:color="auto"/>
            <w:left w:val="none" w:sz="0" w:space="0" w:color="auto"/>
            <w:bottom w:val="none" w:sz="0" w:space="0" w:color="auto"/>
            <w:right w:val="none" w:sz="0" w:space="0" w:color="auto"/>
          </w:divBdr>
        </w:div>
        <w:div w:id="1905867513">
          <w:marLeft w:val="0"/>
          <w:marRight w:val="0"/>
          <w:marTop w:val="0"/>
          <w:marBottom w:val="0"/>
          <w:divBdr>
            <w:top w:val="none" w:sz="0" w:space="0" w:color="auto"/>
            <w:left w:val="none" w:sz="0" w:space="0" w:color="auto"/>
            <w:bottom w:val="none" w:sz="0" w:space="0" w:color="auto"/>
            <w:right w:val="none" w:sz="0" w:space="0" w:color="auto"/>
          </w:divBdr>
          <w:divsChild>
            <w:div w:id="784422838">
              <w:marLeft w:val="0"/>
              <w:marRight w:val="0"/>
              <w:marTop w:val="0"/>
              <w:marBottom w:val="0"/>
              <w:divBdr>
                <w:top w:val="none" w:sz="0" w:space="0" w:color="auto"/>
                <w:left w:val="none" w:sz="0" w:space="0" w:color="auto"/>
                <w:bottom w:val="none" w:sz="0" w:space="0" w:color="auto"/>
                <w:right w:val="none" w:sz="0" w:space="0" w:color="auto"/>
              </w:divBdr>
            </w:div>
            <w:div w:id="2074355305">
              <w:marLeft w:val="0"/>
              <w:marRight w:val="0"/>
              <w:marTop w:val="0"/>
              <w:marBottom w:val="0"/>
              <w:divBdr>
                <w:top w:val="none" w:sz="0" w:space="0" w:color="auto"/>
                <w:left w:val="none" w:sz="0" w:space="0" w:color="auto"/>
                <w:bottom w:val="none" w:sz="0" w:space="0" w:color="auto"/>
                <w:right w:val="none" w:sz="0" w:space="0" w:color="auto"/>
              </w:divBdr>
            </w:div>
            <w:div w:id="1535731810">
              <w:marLeft w:val="0"/>
              <w:marRight w:val="0"/>
              <w:marTop w:val="0"/>
              <w:marBottom w:val="0"/>
              <w:divBdr>
                <w:top w:val="none" w:sz="0" w:space="0" w:color="auto"/>
                <w:left w:val="none" w:sz="0" w:space="0" w:color="auto"/>
                <w:bottom w:val="none" w:sz="0" w:space="0" w:color="auto"/>
                <w:right w:val="none" w:sz="0" w:space="0" w:color="auto"/>
              </w:divBdr>
            </w:div>
            <w:div w:id="447045865">
              <w:marLeft w:val="0"/>
              <w:marRight w:val="0"/>
              <w:marTop w:val="0"/>
              <w:marBottom w:val="0"/>
              <w:divBdr>
                <w:top w:val="none" w:sz="0" w:space="0" w:color="auto"/>
                <w:left w:val="none" w:sz="0" w:space="0" w:color="auto"/>
                <w:bottom w:val="none" w:sz="0" w:space="0" w:color="auto"/>
                <w:right w:val="none" w:sz="0" w:space="0" w:color="auto"/>
              </w:divBdr>
            </w:div>
          </w:divsChild>
        </w:div>
        <w:div w:id="199310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20@leicester.ac.uk" TargetMode="External"/><Relationship Id="rId5" Type="http://schemas.openxmlformats.org/officeDocument/2006/relationships/hyperlink" Target="mailto:emma.redma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2022-11-03T16:20:00Z</dcterms:created>
  <dcterms:modified xsi:type="dcterms:W3CDTF">2022-11-03T16:24:00Z</dcterms:modified>
</cp:coreProperties>
</file>