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4C5A" w14:textId="7097BF66" w:rsidR="00066C81" w:rsidRPr="00172FB3" w:rsidRDefault="00172FB3" w:rsidP="00066C81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BBSRC MIBTP 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Studentship </w:t>
      </w: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Project </w:t>
      </w:r>
    </w:p>
    <w:p w14:paraId="4C7E9051" w14:textId="46DAAAE2" w:rsidR="00172FB3" w:rsidRPr="00172FB3" w:rsidRDefault="00172FB3" w:rsidP="00066C81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>September 2023</w:t>
      </w:r>
    </w:p>
    <w:p w14:paraId="3E03CD33" w14:textId="4DDA7478" w:rsidR="00066C81" w:rsidRDefault="00066C81" w:rsidP="00066C81">
      <w:pPr>
        <w:spacing w:after="0" w:line="240" w:lineRule="auto"/>
      </w:pPr>
    </w:p>
    <w:p w14:paraId="50B30DAA" w14:textId="77777777" w:rsidR="00172FB3" w:rsidRDefault="00172FB3" w:rsidP="00066C81">
      <w:pPr>
        <w:spacing w:after="0" w:line="240" w:lineRule="auto"/>
      </w:pPr>
    </w:p>
    <w:p w14:paraId="03227DF4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11B9C0F9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5D46998F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787DEB53" w14:textId="780B7174" w:rsidR="00066C81" w:rsidRPr="00066C81" w:rsidRDefault="00081D81" w:rsidP="00066C81">
            <w:proofErr w:type="spellStart"/>
            <w:r w:rsidRPr="00081D81">
              <w:t>Prof.</w:t>
            </w:r>
            <w:proofErr w:type="spellEnd"/>
            <w:r w:rsidRPr="00081D81">
              <w:t xml:space="preserve"> Eamonn Mallon</w:t>
            </w:r>
          </w:p>
        </w:tc>
      </w:tr>
      <w:tr w:rsidR="00066C81" w:rsidRPr="00066C81" w14:paraId="79D8A355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1E2CC0A3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35E6FF30" w14:textId="65BE5159" w:rsidR="00066C81" w:rsidRPr="00066C81" w:rsidRDefault="00081D81" w:rsidP="00066C81">
            <w:r w:rsidRPr="00081D81">
              <w:t>Genetics &amp; Genome Biology</w:t>
            </w:r>
          </w:p>
        </w:tc>
      </w:tr>
      <w:tr w:rsidR="00172FB3" w:rsidRPr="00066C81" w14:paraId="7BE70822" w14:textId="77777777" w:rsidTr="00844FD0">
        <w:tc>
          <w:tcPr>
            <w:tcW w:w="3227" w:type="dxa"/>
            <w:shd w:val="clear" w:color="auto" w:fill="F2F2F2" w:themeFill="background1" w:themeFillShade="F2"/>
          </w:tcPr>
          <w:p w14:paraId="06FEFE5A" w14:textId="77777777" w:rsidR="00172FB3" w:rsidRPr="00066C81" w:rsidRDefault="00172FB3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14FE53F1" w14:textId="59AD9AFA" w:rsidR="00172FB3" w:rsidRPr="00066C81" w:rsidRDefault="00081D81" w:rsidP="00066C81">
            <w:hyperlink r:id="rId5" w:history="1">
              <w:r w:rsidRPr="00201E26">
                <w:rPr>
                  <w:rStyle w:val="Hyperlink"/>
                </w:rPr>
                <w:t>ebm3@leicester.ac.uk</w:t>
              </w:r>
            </w:hyperlink>
            <w:r>
              <w:t xml:space="preserve"> </w:t>
            </w:r>
          </w:p>
        </w:tc>
      </w:tr>
    </w:tbl>
    <w:p w14:paraId="692FFA68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16AE7A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0A663EF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3A54C734" w14:textId="614EB9BE" w:rsidR="00066C81" w:rsidRDefault="00081D81" w:rsidP="00ED69E6">
            <w:proofErr w:type="spellStart"/>
            <w:r w:rsidRPr="00081D81">
              <w:t>Prof.</w:t>
            </w:r>
            <w:proofErr w:type="spellEnd"/>
            <w:r w:rsidRPr="00081D81">
              <w:t xml:space="preserve"> Salvador Macip</w:t>
            </w:r>
          </w:p>
        </w:tc>
      </w:tr>
      <w:tr w:rsidR="00066C81" w14:paraId="3F7D2C5B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D453892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43982982" w14:textId="661AD3AC" w:rsidR="00066C81" w:rsidRDefault="00081D81" w:rsidP="00ED69E6">
            <w:r w:rsidRPr="00081D81">
              <w:t>Molecular &amp; Cell Biology</w:t>
            </w:r>
          </w:p>
        </w:tc>
      </w:tr>
      <w:tr w:rsidR="00172FB3" w14:paraId="22663EBD" w14:textId="77777777" w:rsidTr="000450B3">
        <w:tc>
          <w:tcPr>
            <w:tcW w:w="3256" w:type="dxa"/>
            <w:shd w:val="clear" w:color="auto" w:fill="F2F2F2" w:themeFill="background1" w:themeFillShade="F2"/>
          </w:tcPr>
          <w:p w14:paraId="401B6784" w14:textId="77777777" w:rsidR="00172FB3" w:rsidRDefault="00172FB3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7D93991F" w14:textId="66A6661F" w:rsidR="00172FB3" w:rsidRDefault="00081D81" w:rsidP="00ED69E6">
            <w:hyperlink r:id="rId6" w:history="1">
              <w:r w:rsidRPr="00201E26">
                <w:rPr>
                  <w:rStyle w:val="Hyperlink"/>
                </w:rPr>
                <w:t>sm460@leicester.ac.uk</w:t>
              </w:r>
            </w:hyperlink>
            <w:r>
              <w:t xml:space="preserve"> </w:t>
            </w:r>
          </w:p>
        </w:tc>
      </w:tr>
    </w:tbl>
    <w:p w14:paraId="47819188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037FDEE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0B8E313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5FEC337B" w14:textId="4F24268A" w:rsidR="00066C81" w:rsidRDefault="00081D81" w:rsidP="00ED69E6">
            <w:r>
              <w:t>N/A</w:t>
            </w:r>
          </w:p>
        </w:tc>
      </w:tr>
    </w:tbl>
    <w:p w14:paraId="32C136AC" w14:textId="5087D5F2" w:rsidR="00066C81" w:rsidRDefault="00066C81" w:rsidP="00066C81">
      <w:pPr>
        <w:spacing w:after="0" w:line="240" w:lineRule="auto"/>
        <w:rPr>
          <w:b/>
          <w:i/>
        </w:rPr>
      </w:pPr>
    </w:p>
    <w:p w14:paraId="06278B7F" w14:textId="77777777" w:rsidR="002641AB" w:rsidRPr="002641AB" w:rsidRDefault="002641AB" w:rsidP="00066C81">
      <w:pPr>
        <w:spacing w:after="0" w:line="240" w:lineRule="auto"/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C81" w14:paraId="04270C13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395B32C9" w14:textId="77777777" w:rsidR="00066C81" w:rsidRPr="002A3685" w:rsidRDefault="00066C81" w:rsidP="00ED69E6">
            <w:pPr>
              <w:rPr>
                <w:b/>
              </w:rPr>
            </w:pPr>
            <w:r w:rsidRPr="002A3685">
              <w:rPr>
                <w:b/>
              </w:rPr>
              <w:t>Project Title</w:t>
            </w:r>
          </w:p>
          <w:p w14:paraId="7AB81BBD" w14:textId="77777777" w:rsidR="00066C81" w:rsidRPr="002A3685" w:rsidRDefault="00066C81" w:rsidP="00ED69E6">
            <w:pPr>
              <w:rPr>
                <w:b/>
              </w:rPr>
            </w:pPr>
          </w:p>
        </w:tc>
        <w:tc>
          <w:tcPr>
            <w:tcW w:w="7036" w:type="dxa"/>
          </w:tcPr>
          <w:p w14:paraId="040D0FE2" w14:textId="57EA7A22" w:rsidR="00066C81" w:rsidRDefault="00081D81" w:rsidP="00ED69E6">
            <w:r w:rsidRPr="00081D81">
              <w:t>Epigenetic ageing in a model insect</w:t>
            </w:r>
          </w:p>
        </w:tc>
      </w:tr>
      <w:tr w:rsidR="00066C81" w14:paraId="3949317A" w14:textId="77777777" w:rsidTr="00ED69E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C5CA595" w14:textId="77777777" w:rsidR="00066C81" w:rsidRDefault="00066C81" w:rsidP="00066C81">
            <w:r>
              <w:rPr>
                <w:b/>
              </w:rPr>
              <w:t xml:space="preserve">Project Summary </w:t>
            </w:r>
          </w:p>
        </w:tc>
      </w:tr>
      <w:tr w:rsidR="00066C81" w14:paraId="0B21904E" w14:textId="77777777" w:rsidTr="00ED69E6">
        <w:tc>
          <w:tcPr>
            <w:tcW w:w="9016" w:type="dxa"/>
            <w:gridSpan w:val="2"/>
          </w:tcPr>
          <w:p w14:paraId="3E4D92FE" w14:textId="79E06147" w:rsidR="00081D81" w:rsidRDefault="00081D81" w:rsidP="00081D8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This project will help establish a malleable insect epigenetic clock by measuring the effect of a longevity drug on insect epigenetic ageing. This extends our discovery of DNA methylation’s role in several insect life history traits. The establishment of a malleable insect epigenetic clock will open up a new area in 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biogerontology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 </w:t>
            </w:r>
            <w:r w:rsidRPr="00081D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000E677" w14:textId="77777777" w:rsidR="00081D81" w:rsidRPr="00081D81" w:rsidRDefault="00081D81" w:rsidP="00081D8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0CFD7B" w14:textId="2D963EDF" w:rsidR="00081D81" w:rsidRDefault="00081D81" w:rsidP="00081D8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Ageing is the combination of DNA, cellular and organ damage leading to a decline in function and increased chance of dying. Aging is a complex process influenced by many environmental and genetic components. The effects of these components influence each other making them difficult to investigate, especially in complex mammalian models. Therefore, a large body of ageing research </w:t>
            </w:r>
            <w:proofErr w:type="gram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is based</w:t>
            </w:r>
            <w:proofErr w:type="gram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on simple model invertebrate organisms. Advantages include easy and cheap </w:t>
            </w:r>
            <w:proofErr w:type="gram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keep</w:t>
            </w:r>
            <w:proofErr w:type="gram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 a laboratory, short life span, genetic and molecular tools available, sequenced genome. However, the current models are of little use in the study of epigenetics in ageing. </w:t>
            </w:r>
            <w:r w:rsidRPr="00081D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7F6AA1B" w14:textId="77777777" w:rsidR="00081D81" w:rsidRPr="00081D81" w:rsidRDefault="00081D81" w:rsidP="00081D8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651E0B" w14:textId="4CE8B762" w:rsidR="00081D81" w:rsidRDefault="00081D81" w:rsidP="00081D8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An epigenetic clock is an emergent property of the </w:t>
            </w:r>
            <w:proofErr w:type="spellStart"/>
            <w:proofErr w:type="gram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epigenome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which</w:t>
            </w:r>
            <w:proofErr w:type="gram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is a better measure of true biological age than chronological age. They </w:t>
            </w:r>
            <w:proofErr w:type="gram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are used</w:t>
            </w:r>
            <w:proofErr w:type="gram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widely through-out 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biogerontology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The first invertebrate epigenetic clock </w:t>
            </w:r>
            <w:proofErr w:type="gram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has just been discovered</w:t>
            </w:r>
            <w:proofErr w:type="gram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 Daphnia, a crustacean. Epigenetic clocks </w:t>
            </w:r>
            <w:proofErr w:type="gram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are calculated</w:t>
            </w:r>
            <w:proofErr w:type="gram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by regressing chronological age against the methylation status of a large number of genes. Penalised regression leads to a number of these genes </w:t>
            </w:r>
            <w:proofErr w:type="gram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being selected</w:t>
            </w:r>
            <w:proofErr w:type="gram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The weighted average of these genes’ methylation state is epigenetic age. Current invertebrate models of ageing (Drosophila and C. 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elegans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 do not possess DNA methylation, reducing their generality. </w:t>
            </w:r>
            <w:r w:rsidRPr="00081D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6D001E5" w14:textId="77777777" w:rsidR="00081D81" w:rsidRPr="00081D81" w:rsidRDefault="00081D81" w:rsidP="00081D8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3E54FB" w14:textId="44E5791F" w:rsidR="00081D81" w:rsidRDefault="00081D81" w:rsidP="00081D8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Nasonia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vitripennis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like other hymenoptera (ants, bees and wasps), has a functional methylation system making it an ideal system to investigate epigenetics of ageing. It possesses all the other advantages of an insect model (see above).</w:t>
            </w:r>
            <w:r w:rsidRPr="00081D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646651" w14:textId="77777777" w:rsidR="00081D81" w:rsidRPr="00081D81" w:rsidRDefault="00081D81" w:rsidP="00081D8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4ED183" w14:textId="77777777" w:rsidR="00081D81" w:rsidRPr="00081D81" w:rsidRDefault="00081D81" w:rsidP="00081D8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We need to show that the insect epigenetic clock is malleable to get the full advantage of a model system. </w:t>
            </w:r>
            <w:proofErr w:type="gram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α-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Ketoglutarate</w:t>
            </w:r>
            <w:proofErr w:type="spellEnd"/>
            <w:proofErr w:type="gram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is a metabolite in the Krebs cycle, but also assists in demethylation as a cofactor for TET enzymes. In mice, supplementation with α-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Ketoglutarate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extends both 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healthspan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lifespan. It seems to do this by altering DNA methylation. In humans, supplementation with α-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Ketoglutarate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reduced epigenetic ageing by 8 years. The PhD candidate will calculate the rate of epigenetic ageing using epigenetic clocks in α-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ketoglutarate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fed and control 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Nasonia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 order to discover if the known lifespan increasing effects of alpha-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ketoglutarate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are associated with a reduction in epigenetic ageing in insects.</w:t>
            </w:r>
            <w:r w:rsidRPr="00081D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F4853A" w14:textId="42518524" w:rsidR="00172FB3" w:rsidRDefault="00172FB3" w:rsidP="00ED69E6"/>
          <w:p w14:paraId="4C6D9C0E" w14:textId="2408A718" w:rsidR="00081D81" w:rsidRDefault="00081D81" w:rsidP="00ED69E6"/>
          <w:p w14:paraId="7AFF0DAB" w14:textId="77777777" w:rsidR="00081D81" w:rsidRPr="00081D81" w:rsidRDefault="00081D81" w:rsidP="00ED69E6"/>
          <w:p w14:paraId="30595529" w14:textId="6F156A32" w:rsidR="002A3685" w:rsidRPr="00081D81" w:rsidRDefault="00081D81" w:rsidP="00ED69E6">
            <w:r>
              <w:t>T</w:t>
            </w:r>
            <w:r w:rsidRPr="00081D81">
              <w:t>echniques that will be undertaken during the project</w:t>
            </w:r>
          </w:p>
          <w:p w14:paraId="1D848FA9" w14:textId="4756A47B" w:rsidR="00172FB3" w:rsidRPr="00081D81" w:rsidRDefault="00081D81" w:rsidP="00ED69E6">
            <w:pPr>
              <w:rPr>
                <w:rFonts w:asciiTheme="minorHAnsi" w:hAnsiTheme="minorHAnsi" w:cstheme="minorHAnsi"/>
              </w:rPr>
            </w:pPr>
            <w:r w:rsidRPr="00081D81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This project will use life span experiments, whole genome 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bisulfite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 sequencing and advanced modelling to measure chronological and epigenetic ageing in drug altered isogenic lines of 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Nasonia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.</w:t>
            </w:r>
            <w:r w:rsidRPr="00081D81">
              <w:rPr>
                <w:rStyle w:val="eop"/>
                <w:rFonts w:asciiTheme="minorHAnsi" w:hAnsiTheme="minorHAnsi" w:cstheme="minorHAnsi"/>
                <w:shd w:val="clear" w:color="auto" w:fill="FFFFFF"/>
              </w:rPr>
              <w:t> </w:t>
            </w:r>
          </w:p>
          <w:p w14:paraId="26DA9394" w14:textId="2A5C5967" w:rsidR="002A3685" w:rsidRPr="00081D81" w:rsidRDefault="002A3685" w:rsidP="00ED69E6"/>
          <w:p w14:paraId="33DE8695" w14:textId="59A7AC82" w:rsidR="002A3685" w:rsidRPr="00081D81" w:rsidRDefault="00081D81" w:rsidP="00ED69E6">
            <w:r w:rsidRPr="00081D81">
              <w:t>BBSRC Strategic Research Priority</w:t>
            </w:r>
            <w:r>
              <w:t xml:space="preserve">: </w:t>
            </w:r>
            <w:r w:rsidRPr="00081D81">
              <w:t>Integrated Understanding of Health</w:t>
            </w:r>
            <w:r>
              <w:t xml:space="preserve"> - Ageing</w:t>
            </w:r>
          </w:p>
          <w:p w14:paraId="33C79811" w14:textId="61F0DC25" w:rsidR="00066C81" w:rsidRDefault="00066C81" w:rsidP="00ED69E6">
            <w:pPr>
              <w:rPr>
                <w:b/>
              </w:rPr>
            </w:pPr>
          </w:p>
        </w:tc>
      </w:tr>
      <w:tr w:rsidR="002A3685" w14:paraId="1709DC04" w14:textId="77777777" w:rsidTr="00E5632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F24EFA2" w14:textId="2AC55179" w:rsidR="002A3685" w:rsidRDefault="002A3685" w:rsidP="00E56328">
            <w:r>
              <w:rPr>
                <w:b/>
              </w:rPr>
              <w:t>References</w:t>
            </w:r>
          </w:p>
        </w:tc>
      </w:tr>
      <w:tr w:rsidR="002A3685" w14:paraId="5A7A7CAC" w14:textId="77777777" w:rsidTr="002A3685">
        <w:tc>
          <w:tcPr>
            <w:tcW w:w="9016" w:type="dxa"/>
            <w:gridSpan w:val="2"/>
          </w:tcPr>
          <w:p w14:paraId="5CFBFC8B" w14:textId="77777777" w:rsidR="00081D81" w:rsidRPr="00081D81" w:rsidRDefault="00081D81" w:rsidP="00081D8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Drew, L. Turning back time. </w:t>
            </w:r>
            <w:r w:rsidRPr="00081D81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Nature</w:t>
            </w:r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601 S20 (2022) </w:t>
            </w:r>
            <w:hyperlink r:id="rId7" w:tgtFrame="_blank" w:history="1">
              <w:r w:rsidRPr="00081D81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https://www.nature.com/articles/d41586-022-00077-8</w:t>
              </w:r>
            </w:hyperlink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 Nature outlook article that gets to the core of what this project will attempt. Is there a direct link between altering the epigenetic clock and changing lifespan?</w:t>
            </w:r>
            <w:r w:rsidRPr="00081D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A144460" w14:textId="77777777" w:rsidR="00081D81" w:rsidRPr="00081D81" w:rsidRDefault="00081D81" w:rsidP="00081D8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Horvath, S. DNA methylation age of human tissues and cell types. </w:t>
            </w:r>
            <w:r w:rsidRPr="00081D81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Genome </w:t>
            </w:r>
            <w:proofErr w:type="spellStart"/>
            <w:r w:rsidRPr="00081D81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Biol</w:t>
            </w:r>
            <w:proofErr w:type="spellEnd"/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1D8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3156 (2013). </w:t>
            </w:r>
            <w:hyperlink r:id="rId8" w:tgtFrame="_blank" w:history="1">
              <w:r w:rsidRPr="00081D81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https://doi.org/10.1186/gb-2013-14-10-r115</w:t>
              </w:r>
            </w:hyperlink>
            <w:r w:rsidRPr="00081D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The original paper that discovered epigenetic clocks in humans.</w:t>
            </w:r>
            <w:r w:rsidRPr="00081D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895B26" w14:textId="414E0D40" w:rsidR="002A3685" w:rsidRDefault="002A3685" w:rsidP="00E56328">
            <w:pPr>
              <w:rPr>
                <w:b/>
              </w:rPr>
            </w:pPr>
          </w:p>
        </w:tc>
      </w:tr>
    </w:tbl>
    <w:p w14:paraId="21A9C8CB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63071C92" w14:textId="77777777" w:rsidR="00BB70D0" w:rsidRDefault="00BB70D0">
      <w:bookmarkStart w:id="0" w:name="_GoBack"/>
      <w:bookmarkEnd w:id="0"/>
    </w:p>
    <w:sectPr w:rsidR="00BB70D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B6BB1"/>
    <w:multiLevelType w:val="multilevel"/>
    <w:tmpl w:val="8792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81"/>
    <w:rsid w:val="00066C81"/>
    <w:rsid w:val="00081D81"/>
    <w:rsid w:val="00172FB3"/>
    <w:rsid w:val="001911A3"/>
    <w:rsid w:val="002641AB"/>
    <w:rsid w:val="002A3685"/>
    <w:rsid w:val="00B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5AD5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1D8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8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81D81"/>
  </w:style>
  <w:style w:type="character" w:customStyle="1" w:styleId="eop">
    <w:name w:val="eop"/>
    <w:basedOn w:val="DefaultParagraphFont"/>
    <w:rsid w:val="0008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gb-2013-14-10-r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d41586-022-00077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460@leicester.ac.uk" TargetMode="External"/><Relationship Id="rId5" Type="http://schemas.openxmlformats.org/officeDocument/2006/relationships/hyperlink" Target="mailto:ebm3@leicester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Finch, Lisa A.</cp:lastModifiedBy>
  <cp:revision>3</cp:revision>
  <dcterms:created xsi:type="dcterms:W3CDTF">2022-11-03T15:13:00Z</dcterms:created>
  <dcterms:modified xsi:type="dcterms:W3CDTF">2022-11-03T15:17:00Z</dcterms:modified>
</cp:coreProperties>
</file>