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3FC6D811"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094410">
        <w:rPr>
          <w:rFonts w:ascii="Calibri" w:hAnsi="Calibri" w:cs="Calibri"/>
          <w:color w:val="404040"/>
        </w:rPr>
        <w:t>4</w:t>
      </w:r>
      <w:r>
        <w:rPr>
          <w:rFonts w:ascii="Calibri" w:hAnsi="Calibri" w:cs="Calibri"/>
          <w:color w:val="404040"/>
        </w:rPr>
        <w:t>/</w:t>
      </w:r>
      <w:r w:rsidR="00094410">
        <w:rPr>
          <w:rFonts w:ascii="Calibri" w:hAnsi="Calibri" w:cs="Calibri"/>
          <w:color w:val="404040"/>
        </w:rPr>
        <w:t>44</w:t>
      </w:r>
    </w:p>
    <w:p w14:paraId="35E3D237" w14:textId="00273CA6" w:rsidR="00926856" w:rsidRDefault="00926856" w:rsidP="001D2913">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sz w:val="26"/>
          <w:szCs w:val="26"/>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094410" w:rsidRPr="00094410">
        <w:rPr>
          <w:rFonts w:ascii="Calibri" w:hAnsi="Calibri" w:cs="Calibri"/>
          <w:b/>
          <w:bCs/>
          <w:color w:val="404040"/>
        </w:rPr>
        <w:t xml:space="preserve">Maternal and paternal futures: responsibilisation practices in the preconception period to </w:t>
      </w:r>
      <w:r w:rsidR="0007523B">
        <w:rPr>
          <w:rFonts w:ascii="Calibri" w:hAnsi="Calibri" w:cs="Calibri"/>
          <w:b/>
          <w:bCs/>
          <w:color w:val="404040"/>
        </w:rPr>
        <w:tab/>
      </w:r>
      <w:r w:rsidR="00094410" w:rsidRPr="00094410">
        <w:rPr>
          <w:rFonts w:ascii="Calibri" w:hAnsi="Calibri" w:cs="Calibri"/>
          <w:b/>
          <w:bCs/>
          <w:color w:val="404040"/>
        </w:rPr>
        <w:t>ensure health outcomes for babies</w:t>
      </w:r>
    </w:p>
    <w:p w14:paraId="35E3D238" w14:textId="7AD8A9B8"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07523B">
        <w:rPr>
          <w:rFonts w:ascii="Calibri" w:hAnsi="Calibri" w:cs="Calibri"/>
          <w:color w:val="404040"/>
        </w:rPr>
        <w:t>Theme 4: Ethical, legal and social implications of genomics and genomic epidemiology</w:t>
      </w:r>
      <w:r w:rsidR="00012EDA">
        <w:rPr>
          <w:rFonts w:ascii="Calibri" w:hAnsi="Calibri" w:cs="Calibri"/>
          <w:color w:val="404040"/>
        </w:rPr>
        <w:t xml:space="preserve"> studies</w:t>
      </w:r>
    </w:p>
    <w:p w14:paraId="35E3D239" w14:textId="6D329E33"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Pr>
          <w:rFonts w:ascii="Calibri" w:hAnsi="Calibri" w:cs="Calibri"/>
          <w:color w:val="404040"/>
        </w:rPr>
        <w:t xml:space="preserve">Dr </w:t>
      </w:r>
      <w:r w:rsidR="0007523B">
        <w:rPr>
          <w:rFonts w:ascii="Calibri" w:hAnsi="Calibri" w:cs="Calibri"/>
          <w:color w:val="404040"/>
        </w:rPr>
        <w:t>Nicola Mackintosh</w:t>
      </w:r>
      <w:r>
        <w:rPr>
          <w:rFonts w:ascii="Calibri" w:hAnsi="Calibri" w:cs="Calibri"/>
          <w:color w:val="404040"/>
        </w:rPr>
        <w:t xml:space="preserve"> (University of Leicester)</w:t>
      </w:r>
      <w:r w:rsidR="004A6997">
        <w:rPr>
          <w:rFonts w:ascii="Calibri" w:hAnsi="Calibri" w:cs="Calibri"/>
          <w:color w:val="404040"/>
        </w:rPr>
        <w:t xml:space="preserve"> </w:t>
      </w:r>
      <w:hyperlink r:id="rId5" w:history="1">
        <w:r w:rsidR="004A6997" w:rsidRPr="00801837">
          <w:rPr>
            <w:rStyle w:val="Hyperlink"/>
            <w:rFonts w:ascii="Calibri" w:hAnsi="Calibri" w:cs="Calibri"/>
          </w:rPr>
          <w:t>nicola.mackintosh@leicester.ac.uk</w:t>
        </w:r>
      </w:hyperlink>
      <w:r w:rsidR="004A6997">
        <w:rPr>
          <w:rFonts w:ascii="Calibri" w:hAnsi="Calibri" w:cs="Calibri"/>
          <w:color w:val="404040"/>
        </w:rPr>
        <w:t xml:space="preserve"> </w:t>
      </w:r>
      <w:bookmarkStart w:id="0" w:name="_GoBack"/>
      <w:bookmarkEnd w:id="0"/>
    </w:p>
    <w:p w14:paraId="35E3D23A" w14:textId="7C4E60E7" w:rsidR="00926856" w:rsidRPr="0007523B" w:rsidRDefault="00926856" w:rsidP="001D2913">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Pr>
          <w:rFonts w:ascii="Calibri" w:hAnsi="Calibri" w:cs="Calibri"/>
          <w:color w:val="404040"/>
        </w:rPr>
        <w:t xml:space="preserve">Prof </w:t>
      </w:r>
      <w:r w:rsidR="0007523B">
        <w:rPr>
          <w:rFonts w:ascii="Calibri" w:hAnsi="Calibri" w:cs="Calibri"/>
          <w:color w:val="404040"/>
        </w:rPr>
        <w:t>Natalie Armstrong</w:t>
      </w:r>
      <w:r>
        <w:rPr>
          <w:rFonts w:ascii="Calibri" w:hAnsi="Calibri" w:cs="Calibri"/>
          <w:color w:val="404040"/>
        </w:rPr>
        <w:t xml:space="preserve"> (University of Leicester)</w:t>
      </w:r>
      <w:r w:rsidR="0007523B">
        <w:rPr>
          <w:rFonts w:ascii="Calibri" w:hAnsi="Calibri" w:cs="Calibri"/>
          <w:color w:val="404040"/>
        </w:rPr>
        <w:br/>
      </w:r>
      <w:r w:rsidR="0007523B">
        <w:rPr>
          <w:rFonts w:ascii="Calibri" w:hAnsi="Calibri" w:cs="Calibri"/>
          <w:color w:val="404040"/>
        </w:rPr>
        <w:tab/>
        <w:t>Prof Frank Dudbridge (University of Leicester)</w:t>
      </w:r>
      <w:r>
        <w:rPr>
          <w:rFonts w:ascii="Calibri" w:hAnsi="Calibri" w:cs="Calibri"/>
          <w:color w:val="404040"/>
        </w:rPr>
        <w:t xml:space="preserve"> </w:t>
      </w:r>
    </w:p>
    <w:p w14:paraId="35E3D23B" w14:textId="6CFB8A57"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07523B" w:rsidRPr="0007523B">
        <w:rPr>
          <w:rFonts w:ascii="Calibri" w:hAnsi="Calibri" w:cs="Calibri"/>
          <w:color w:val="404040"/>
        </w:rPr>
        <w:t>Health</w:t>
      </w:r>
      <w:r w:rsidR="0007523B">
        <w:rPr>
          <w:rFonts w:ascii="Calibri" w:hAnsi="Calibri" w:cs="Calibri"/>
          <w:color w:val="222A35"/>
        </w:rPr>
        <w:t xml:space="preserve"> Sciences</w:t>
      </w:r>
    </w:p>
    <w:p w14:paraId="35E3D23C" w14:textId="557E37BB" w:rsidR="00926856" w:rsidRDefault="00926856" w:rsidP="0007523B">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sz w:val="26"/>
          <w:szCs w:val="26"/>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074572" w:rsidRPr="00074572">
        <w:rPr>
          <w:rFonts w:ascii="Calibri" w:hAnsi="Calibri" w:cs="Calibri"/>
          <w:color w:val="404040"/>
        </w:rPr>
        <w:t>This 4 year studentship aims to develop an integrated empirical examination of the emerging scientific, policy and practice landscape of preconception care. It brings together epigenetics, social science and public health to explore social, political, and ethical concerns and priorities regarding lifestyle choices and environmental hazards, and paternal and maternal influences before and after conception. Through evidence mapping, documentary analysis and interviews with scientific, policy and clinical communities, the studentship will examine how neoliberal imperatives of responsibilisation and self-care and the ethics of anticipatory parenthood are framed and operationalised within public and maternal health in England.</w:t>
      </w:r>
    </w:p>
    <w:p w14:paraId="35E3D23D" w14:textId="77777777" w:rsidR="00926856" w:rsidRPr="00944ED9" w:rsidRDefault="00926856" w:rsidP="00D7633A">
      <w:pPr>
        <w:widowControl w:val="0"/>
        <w:tabs>
          <w:tab w:val="left" w:pos="90"/>
        </w:tabs>
        <w:autoSpaceDE w:val="0"/>
        <w:autoSpaceDN w:val="0"/>
        <w:adjustRightInd w:val="0"/>
        <w:spacing w:before="56" w:after="0" w:line="240" w:lineRule="auto"/>
        <w:rPr>
          <w:rFonts w:ascii="Calibri" w:hAnsi="Calibri" w:cs="Calibri"/>
          <w:color w:val="404040"/>
          <w:sz w:val="26"/>
          <w:szCs w:val="26"/>
        </w:rPr>
      </w:pPr>
    </w:p>
    <w:sectPr w:rsidR="00926856" w:rsidRPr="00944ED9">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2EDA"/>
    <w:rsid w:val="0001631B"/>
    <w:rsid w:val="00074572"/>
    <w:rsid w:val="0007523B"/>
    <w:rsid w:val="00094410"/>
    <w:rsid w:val="001D2913"/>
    <w:rsid w:val="00466235"/>
    <w:rsid w:val="004A6997"/>
    <w:rsid w:val="00894265"/>
    <w:rsid w:val="00926856"/>
    <w:rsid w:val="00944ED9"/>
    <w:rsid w:val="00A82F6A"/>
    <w:rsid w:val="00D7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a.mackintosh@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8</cp:revision>
  <dcterms:created xsi:type="dcterms:W3CDTF">2022-09-29T16:32:00Z</dcterms:created>
  <dcterms:modified xsi:type="dcterms:W3CDTF">2022-10-14T13:18:00Z</dcterms:modified>
</cp:coreProperties>
</file>