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29AE" w14:textId="77777777" w:rsidR="00DB7D08" w:rsidRDefault="00DB7D08" w:rsidP="00DB7D08">
      <w:pPr>
        <w:spacing w:line="240" w:lineRule="auto"/>
        <w:rPr>
          <w:rFonts w:eastAsiaTheme="minorHAnsi" w:cs="Arial"/>
          <w:b/>
          <w:color w:val="auto"/>
        </w:rPr>
      </w:pPr>
      <w:r>
        <w:rPr>
          <w:rFonts w:cs="Arial"/>
          <w:b/>
        </w:rPr>
        <w:t xml:space="preserve">University of Leicester </w:t>
      </w:r>
    </w:p>
    <w:p w14:paraId="79157060" w14:textId="4EECB8E3" w:rsidR="0034746F" w:rsidRPr="00DB7D08" w:rsidRDefault="00DB7D08" w:rsidP="00DB7D08">
      <w:pPr>
        <w:spacing w:line="240" w:lineRule="auto"/>
        <w:rPr>
          <w:rFonts w:ascii="Arial" w:hAnsi="Arial" w:cs="Arial"/>
          <w:b/>
        </w:rPr>
      </w:pPr>
      <w:r>
        <w:rPr>
          <w:rFonts w:cs="Arial"/>
          <w:b/>
        </w:rPr>
        <w:t xml:space="preserve">Future </w:t>
      </w:r>
      <w:proofErr w:type="gramStart"/>
      <w:r>
        <w:rPr>
          <w:rFonts w:cs="Arial"/>
          <w:b/>
        </w:rPr>
        <w:t>50  PhD</w:t>
      </w:r>
      <w:proofErr w:type="gramEnd"/>
      <w:r>
        <w:rPr>
          <w:rFonts w:cs="Arial"/>
          <w:b/>
        </w:rPr>
        <w:t xml:space="preserve"> Scholarship</w:t>
      </w: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 w:rsidTr="104D56D9"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7F7021C0" w:rsidR="00FA65DC" w:rsidRPr="00066C81" w:rsidRDefault="0034746F" w:rsidP="00617410">
            <w:r>
              <w:t>RI LISCB Gooptu</w:t>
            </w:r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066C81" w14:paraId="322E1222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59763F99" w:rsidR="00FA65DC" w:rsidRPr="00066C81" w:rsidRDefault="00ED67CD" w:rsidP="00745670">
            <w:r>
              <w:t>Prof Bibek Gooptu</w:t>
            </w:r>
          </w:p>
        </w:tc>
      </w:tr>
      <w:tr w:rsidR="00FA65DC" w:rsidRPr="00066C81" w14:paraId="15ED5BBE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0BE56581" w:rsidR="00FA65DC" w:rsidRPr="00066C81" w:rsidRDefault="00ED67CD" w:rsidP="00745670">
            <w:r>
              <w:t>Respiratory Sciences</w:t>
            </w:r>
          </w:p>
        </w:tc>
      </w:tr>
      <w:tr w:rsidR="00FA65DC" w:rsidRPr="00066C81" w14:paraId="3C049093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06BD5B47" w:rsidR="00FA65DC" w:rsidRPr="00066C81" w:rsidRDefault="00ED67CD" w:rsidP="00745670">
            <w:r>
              <w:t>bg129@le.ac.uk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4DE62CAF" w:rsidR="00FA65DC" w:rsidRPr="00066C81" w:rsidRDefault="00617410" w:rsidP="00745670">
            <w:r>
              <w:t>x7137</w:t>
            </w:r>
          </w:p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FA65DC" w14:paraId="65C977B5" w14:textId="77777777" w:rsidTr="0CF3DD37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1018E590" w:rsidR="00FA65DC" w:rsidRDefault="00FA65DC" w:rsidP="00745670"/>
        </w:tc>
      </w:tr>
      <w:tr w:rsidR="00FA65DC" w14:paraId="58044821" w14:textId="77777777" w:rsidTr="0CF3DD37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6BCA5254" w:rsidR="00FA65DC" w:rsidRDefault="00FA65DC" w:rsidP="00745670"/>
        </w:tc>
      </w:tr>
      <w:tr w:rsidR="00FA65DC" w14:paraId="64AE7F63" w14:textId="77777777" w:rsidTr="0CF3DD37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150CD25E" w14:textId="2B4652F5" w:rsidR="00FA65DC" w:rsidRDefault="00FA65DC" w:rsidP="00745670"/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FA65DC" w:rsidRPr="008D3AC2" w:rsidRDefault="00FA65DC" w:rsidP="00745670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77777777" w:rsidR="00FA65DC" w:rsidRDefault="00FA65DC" w:rsidP="00745670"/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2740E30A" w14:textId="1D7DCE40" w:rsidR="00FA65DC" w:rsidRDefault="00966F38" w:rsidP="00745670">
            <w:r>
              <w:t>Dr Pietro Roversi</w:t>
            </w:r>
            <w:r w:rsidR="008869FD">
              <w:t>, LISCB and University of Milan, Italy</w:t>
            </w:r>
          </w:p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642"/>
        <w:gridCol w:w="6494"/>
      </w:tblGrid>
      <w:tr w:rsidR="00FA65DC" w14:paraId="32F16E9A" w14:textId="77777777" w:rsidTr="104D56D9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23AF22A8" w:rsidR="00FA65DC" w:rsidRDefault="007801DC" w:rsidP="007801DC">
            <w:r>
              <w:t xml:space="preserve">Assigning fate in protein misfolding: structural </w:t>
            </w:r>
            <w:r w:rsidR="00966F38">
              <w:t xml:space="preserve">and cellular </w:t>
            </w:r>
            <w:r>
              <w:t>studies of alpha1-antitrypsin interactions with ER chaperones</w:t>
            </w:r>
          </w:p>
        </w:tc>
      </w:tr>
      <w:tr w:rsidR="00FA65DC" w14:paraId="2B452CC2" w14:textId="77777777" w:rsidTr="104D56D9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745670">
            <w:r>
              <w:t>1.</w:t>
            </w:r>
          </w:p>
        </w:tc>
        <w:tc>
          <w:tcPr>
            <w:tcW w:w="6611" w:type="dxa"/>
          </w:tcPr>
          <w:p w14:paraId="0B8C9538" w14:textId="5A993878" w:rsidR="00FA65DC" w:rsidRDefault="00CA4C84" w:rsidP="00CA4C84">
            <w:r>
              <w:t>An interdisciplinary project of clinical relevance d</w:t>
            </w:r>
            <w:r w:rsidR="00966F38">
              <w:t>efining interactions of ER chaperones with alpha1-antitrypsin</w:t>
            </w:r>
            <w:r>
              <w:t xml:space="preserve"> </w:t>
            </w:r>
            <w:r w:rsidR="00AA54E2">
              <w:t xml:space="preserve">using </w:t>
            </w:r>
            <w:r w:rsidR="00966F38">
              <w:t>structural biology</w:t>
            </w:r>
          </w:p>
        </w:tc>
      </w:tr>
      <w:tr w:rsidR="00FA65DC" w14:paraId="55CCBDBC" w14:textId="77777777" w:rsidTr="104D56D9">
        <w:tc>
          <w:tcPr>
            <w:tcW w:w="1980" w:type="dxa"/>
            <w:vMerge/>
          </w:tcPr>
          <w:p w14:paraId="17D2D6C9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745670">
            <w:r>
              <w:t>2.</w:t>
            </w:r>
          </w:p>
        </w:tc>
        <w:tc>
          <w:tcPr>
            <w:tcW w:w="6611" w:type="dxa"/>
          </w:tcPr>
          <w:p w14:paraId="5D02F70E" w14:textId="1E843164" w:rsidR="00FA65DC" w:rsidRDefault="00AA54E2" w:rsidP="00AA54E2">
            <w:r>
              <w:t>Understanding how differences in structural interactions of a single ER chaperone with alpha1-antitrypsin in different misfolding or conformational states leads to re-entry into the folding pathway in one case and lysosomal degradation in another.</w:t>
            </w:r>
          </w:p>
        </w:tc>
      </w:tr>
      <w:tr w:rsidR="00FA65DC" w14:paraId="691A2B0B" w14:textId="77777777" w:rsidTr="104D56D9">
        <w:tc>
          <w:tcPr>
            <w:tcW w:w="1980" w:type="dxa"/>
            <w:vMerge/>
          </w:tcPr>
          <w:p w14:paraId="2A97B37C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745670">
            <w:r>
              <w:t>3.</w:t>
            </w:r>
          </w:p>
        </w:tc>
        <w:tc>
          <w:tcPr>
            <w:tcW w:w="6611" w:type="dxa"/>
          </w:tcPr>
          <w:p w14:paraId="194AE404" w14:textId="727090C1" w:rsidR="00FA65DC" w:rsidRDefault="00AA54E2" w:rsidP="00ED67CD">
            <w:r>
              <w:t>Probing whether enhancing these interactions are beneficial or ha</w:t>
            </w:r>
            <w:r w:rsidR="00ED67CD">
              <w:t>rmful in cell models of disease. This will guide new strategies for treating alpha1-antitrypsin deficiency and other diseases mediated by misfolding of proteins along the secretory pathway.</w:t>
            </w:r>
          </w:p>
        </w:tc>
      </w:tr>
      <w:tr w:rsidR="00FA65DC" w14:paraId="045BF4FC" w14:textId="77777777" w:rsidTr="104D56D9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 w:rsidP="00745670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104D56D9">
        <w:tc>
          <w:tcPr>
            <w:tcW w:w="9016" w:type="dxa"/>
            <w:gridSpan w:val="3"/>
          </w:tcPr>
          <w:p w14:paraId="56D21B9F" w14:textId="0E74A1C8" w:rsidR="00FA65DC" w:rsidRPr="00CB4F38" w:rsidRDefault="00FA65DC" w:rsidP="00745670"/>
          <w:p w14:paraId="5C29D405" w14:textId="56AB30F6" w:rsidR="00FA65DC" w:rsidRPr="00CB4F38" w:rsidRDefault="7F6F039A" w:rsidP="00732A02">
            <w:pPr>
              <w:jc w:val="both"/>
            </w:pPr>
            <w:r>
              <w:t>Alpha</w:t>
            </w:r>
            <w:r w:rsidRPr="104D56D9">
              <w:rPr>
                <w:vertAlign w:val="subscript"/>
              </w:rPr>
              <w:t>1</w:t>
            </w:r>
            <w:r>
              <w:t>-antitrypsin</w:t>
            </w:r>
            <w:r w:rsidR="7795D413">
              <w:t xml:space="preserve"> is the most abundant circulating antiprotease.  Its function relies upon an ability to undergo dramatic conformational change </w:t>
            </w:r>
            <w:r w:rsidR="764A187E">
              <w:t>conferred by folding to a metastable native structure</w:t>
            </w:r>
            <w:r w:rsidR="00617410">
              <w:t xml:space="preserve"> - </w:t>
            </w:r>
            <w:r w:rsidR="764A187E">
              <w:t>a conformation that represents a kinetically</w:t>
            </w:r>
            <w:r w:rsidR="417988CF">
              <w:t>-</w:t>
            </w:r>
            <w:r w:rsidR="764A187E">
              <w:t>trapped intermediate rather than the most stable state.  α</w:t>
            </w:r>
            <w:r w:rsidR="764A187E" w:rsidRPr="104D56D9">
              <w:rPr>
                <w:vertAlign w:val="subscript"/>
              </w:rPr>
              <w:t>1</w:t>
            </w:r>
            <w:r w:rsidR="764A187E">
              <w:t xml:space="preserve">-antitrypsin folds within the endoplasmic reticulum (ER). </w:t>
            </w:r>
            <w:r w:rsidR="417988CF">
              <w:t xml:space="preserve">As a </w:t>
            </w:r>
            <w:r w:rsidR="764A187E">
              <w:t>folding compartment, the ER contains chaperone mechanisms to prevent the accumulation of trapped folding intermediates</w:t>
            </w:r>
            <w:r w:rsidR="21B5D8F0">
              <w:t xml:space="preserve"> that usually represent misfolded states</w:t>
            </w:r>
            <w:r w:rsidR="764A187E">
              <w:t xml:space="preserve">. </w:t>
            </w:r>
            <w:r w:rsidR="68E25973">
              <w:t>Moreover,</w:t>
            </w:r>
            <w:r w:rsidR="764A187E">
              <w:t xml:space="preserve"> </w:t>
            </w:r>
            <w:r w:rsidR="21B5D8F0">
              <w:t xml:space="preserve">the fold </w:t>
            </w:r>
            <w:r w:rsidR="764A187E">
              <w:t>is inherently prone to alternative stabilisation in pathological states such as the α</w:t>
            </w:r>
            <w:r w:rsidR="764A187E" w:rsidRPr="104D56D9">
              <w:rPr>
                <w:vertAlign w:val="subscript"/>
              </w:rPr>
              <w:t>1</w:t>
            </w:r>
            <w:r w:rsidR="764A187E">
              <w:t>-antitrypsin polymer</w:t>
            </w:r>
            <w:r w:rsidR="21B5D8F0">
              <w:t xml:space="preserve">, seen in the context of mutations that cause disease, </w:t>
            </w:r>
            <w:proofErr w:type="gramStart"/>
            <w:r w:rsidR="21B5D8F0">
              <w:t>e.g.</w:t>
            </w:r>
            <w:proofErr w:type="gramEnd"/>
            <w:r w:rsidR="21B5D8F0">
              <w:t xml:space="preserve"> the Z (Glu342Lys) variant</w:t>
            </w:r>
            <w:r w:rsidR="764A187E">
              <w:t xml:space="preserve">.  Despite these challenges, </w:t>
            </w:r>
            <w:r w:rsidR="21B5D8F0">
              <w:t xml:space="preserve">wild-type (M) </w:t>
            </w:r>
            <w:r w:rsidR="764A187E">
              <w:t>α</w:t>
            </w:r>
            <w:r w:rsidR="764A187E" w:rsidRPr="104D56D9">
              <w:rPr>
                <w:vertAlign w:val="subscript"/>
              </w:rPr>
              <w:t>1</w:t>
            </w:r>
            <w:r w:rsidR="764A187E">
              <w:t xml:space="preserve">-antitrypsin is </w:t>
            </w:r>
            <w:r w:rsidR="21B5D8F0">
              <w:t>synthesised, folded and secreted at high rates (</w:t>
            </w:r>
            <w:r w:rsidR="00617410">
              <w:t>~</w:t>
            </w:r>
            <w:r w:rsidR="21B5D8F0">
              <w:t>2 g/d)</w:t>
            </w:r>
            <w:r w:rsidR="764A187E">
              <w:t xml:space="preserve"> by </w:t>
            </w:r>
            <w:r w:rsidR="21B5D8F0">
              <w:t xml:space="preserve">liver cells.  </w:t>
            </w:r>
            <w:proofErr w:type="gramStart"/>
            <w:r w:rsidR="21B5D8F0">
              <w:t>However</w:t>
            </w:r>
            <w:proofErr w:type="gramEnd"/>
            <w:r w:rsidR="21B5D8F0">
              <w:t xml:space="preserve"> </w:t>
            </w:r>
            <w:r w:rsidR="4126FCE7">
              <w:t xml:space="preserve">in the presence of the Z mutation </w:t>
            </w:r>
            <w:r w:rsidR="21B5D8F0">
              <w:t>only a small proportion of synthesised α</w:t>
            </w:r>
            <w:r w:rsidR="21B5D8F0" w:rsidRPr="104D56D9">
              <w:rPr>
                <w:vertAlign w:val="subscript"/>
              </w:rPr>
              <w:t>1</w:t>
            </w:r>
            <w:r w:rsidR="21B5D8F0">
              <w:t xml:space="preserve">-antitrypsin folds correctly and is secreted (&lt;15%).  Homozygous </w:t>
            </w:r>
            <w:r w:rsidR="20F5FB14">
              <w:t>individuals</w:t>
            </w:r>
            <w:r w:rsidR="21B5D8F0">
              <w:t xml:space="preserve"> are prone to severe, early-onset liver (childhood and adult cirrhosis, cancer) and lung (emphysema) disease due to a combination of loss- and toxic gain-of-function</w:t>
            </w:r>
            <w:r w:rsidR="4126FCE7">
              <w:t xml:space="preserve"> consequences of the events within the ER</w:t>
            </w:r>
            <w:r w:rsidR="21B5D8F0">
              <w:t>.  In this project w</w:t>
            </w:r>
            <w:r w:rsidR="4126FCE7">
              <w:t>e propose to dissect these events in terms of interactions of α</w:t>
            </w:r>
            <w:r w:rsidR="4126FCE7" w:rsidRPr="104D56D9">
              <w:rPr>
                <w:vertAlign w:val="subscript"/>
              </w:rPr>
              <w:t>1</w:t>
            </w:r>
            <w:r w:rsidR="4126FCE7">
              <w:t xml:space="preserve">-antitrypsin with ER chaperones, using structural and cellular biology. </w:t>
            </w:r>
          </w:p>
          <w:p w14:paraId="047DF5B4" w14:textId="628A85A2" w:rsidR="00FA65DC" w:rsidRPr="00CB4F38" w:rsidRDefault="00FA65DC" w:rsidP="00732A02">
            <w:pPr>
              <w:jc w:val="both"/>
            </w:pPr>
          </w:p>
          <w:p w14:paraId="0D0DA372" w14:textId="706FD7AD" w:rsidR="00FA65DC" w:rsidRPr="00CB4F38" w:rsidRDefault="4126FCE7" w:rsidP="00732A02">
            <w:pPr>
              <w:jc w:val="both"/>
            </w:pPr>
            <w:r>
              <w:t>The supervisors and a co-supervised student have previously determined structures of polymeric α</w:t>
            </w:r>
            <w:r w:rsidRPr="104D56D9">
              <w:rPr>
                <w:vertAlign w:val="subscript"/>
              </w:rPr>
              <w:t>1</w:t>
            </w:r>
            <w:r>
              <w:t>-antitrypsin and the ER chaperones UGGT1, PDI and EDEM by electron (cryo)microscopy (EM/cryoEM)</w:t>
            </w:r>
            <w:r w:rsidR="1CA952FD">
              <w:t xml:space="preserve"> (Fig. 1)</w:t>
            </w:r>
            <w:r>
              <w:t>. UGGT1 facilitates the recycling of misfolded glycoproteins like α</w:t>
            </w:r>
            <w:r w:rsidRPr="104D56D9">
              <w:rPr>
                <w:vertAlign w:val="subscript"/>
              </w:rPr>
              <w:t>1</w:t>
            </w:r>
            <w:r>
              <w:t>-antitrypsin for further folding attempts, yet also interacts with α</w:t>
            </w:r>
            <w:r w:rsidRPr="104D56D9">
              <w:rPr>
                <w:vertAlign w:val="subscript"/>
              </w:rPr>
              <w:t>1</w:t>
            </w:r>
            <w:r>
              <w:t xml:space="preserve">-antitrypsin polymers in a </w:t>
            </w:r>
            <w:r w:rsidR="1467E4D5">
              <w:t>recently described</w:t>
            </w:r>
            <w:r>
              <w:t xml:space="preserve"> process of ER-</w:t>
            </w:r>
            <w:r w:rsidR="417988CF">
              <w:t>to-</w:t>
            </w:r>
            <w:r>
              <w:t xml:space="preserve">lysosome-associated-degradation (ERLAD).  </w:t>
            </w:r>
            <w:r w:rsidR="417988CF">
              <w:t xml:space="preserve">Conversely </w:t>
            </w:r>
            <w:r>
              <w:t xml:space="preserve">PDI and EDEM cooperate to target terminally-misfolded monomeric </w:t>
            </w:r>
            <w:r w:rsidR="20F5FB14">
              <w:t>protein</w:t>
            </w:r>
            <w:r>
              <w:t xml:space="preserve"> for export to the cytoplasm for </w:t>
            </w:r>
            <w:r w:rsidR="20F5FB14">
              <w:t xml:space="preserve">degradation by the proteasome.  </w:t>
            </w:r>
          </w:p>
          <w:p w14:paraId="73ECCBAB" w14:textId="48B261C2" w:rsidR="00FA65DC" w:rsidRPr="00CB4F38" w:rsidRDefault="00FA65DC" w:rsidP="00732A02">
            <w:pPr>
              <w:jc w:val="both"/>
            </w:pPr>
          </w:p>
          <w:p w14:paraId="7FFBD1DA" w14:textId="409A3131" w:rsidR="00FA65DC" w:rsidRPr="00CB4F38" w:rsidRDefault="20F5FB14" w:rsidP="00732A02">
            <w:pPr>
              <w:jc w:val="both"/>
            </w:pPr>
            <w:r>
              <w:t>The project aims to purify complexes of disease-mutant α</w:t>
            </w:r>
            <w:r w:rsidRPr="104D56D9">
              <w:rPr>
                <w:vertAlign w:val="subscript"/>
              </w:rPr>
              <w:t>1</w:t>
            </w:r>
            <w:r>
              <w:t xml:space="preserve">-antitrypsin in complex with these chaperones from cells </w:t>
            </w:r>
            <w:r w:rsidR="1CA952FD">
              <w:t>and</w:t>
            </w:r>
            <w:r w:rsidR="00617410">
              <w:t>/or</w:t>
            </w:r>
            <w:r w:rsidR="1CA952FD">
              <w:t xml:space="preserve"> </w:t>
            </w:r>
            <w:r w:rsidR="00617410">
              <w:t>reconstitute</w:t>
            </w:r>
            <w:r w:rsidR="1CA952FD">
              <w:t xml:space="preserve"> from individual </w:t>
            </w:r>
            <w:r w:rsidR="75F38B46">
              <w:t>components and</w:t>
            </w:r>
            <w:r>
              <w:t xml:space="preserve"> determine their structures by cryoEM.  We </w:t>
            </w:r>
            <w:r>
              <w:lastRenderedPageBreak/>
              <w:t>will discuss the degree to which these processes worsen or improve responses in cell models of disease using overexpression, inhibitor, knockdown and/or knockout methods, to understand whether strategies for the development of new drugs should aim to enhance</w:t>
            </w:r>
            <w:r w:rsidR="18D8EF97">
              <w:t xml:space="preserve"> (collaboration with Richard Doveston)</w:t>
            </w:r>
            <w:r>
              <w:t xml:space="preserve"> or block these interactions.</w:t>
            </w:r>
          </w:p>
          <w:p w14:paraId="7AAE9D57" w14:textId="77777777" w:rsidR="009535FE" w:rsidRPr="00CB4F38" w:rsidRDefault="009535FE" w:rsidP="00732A02">
            <w:pPr>
              <w:jc w:val="both"/>
            </w:pPr>
          </w:p>
          <w:p w14:paraId="17D70A45" w14:textId="4EADDCBC" w:rsidR="009535FE" w:rsidRPr="00CB4F38" w:rsidRDefault="009535FE" w:rsidP="00732A02">
            <w:pPr>
              <w:jc w:val="both"/>
            </w:pPr>
            <w:r w:rsidRPr="00CB4F38">
              <w:rPr>
                <w:noProof/>
              </w:rPr>
              <w:drawing>
                <wp:inline distT="0" distB="0" distL="0" distR="0" wp14:anchorId="7EFA046A" wp14:editId="776D4FFC">
                  <wp:extent cx="6120130" cy="4340860"/>
                  <wp:effectExtent l="19050" t="19050" r="13970" b="215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 A1AT ERQC+ERLAD F50 LISCB 31stOct2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3408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08D12" w14:textId="61F0FE95" w:rsidR="009535FE" w:rsidRPr="00CB4F38" w:rsidRDefault="009535FE" w:rsidP="00732A02">
            <w:pPr>
              <w:jc w:val="both"/>
            </w:pPr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E381" w14:textId="77777777" w:rsidR="006E6127" w:rsidRDefault="006E6127" w:rsidP="006E6127">
      <w:pPr>
        <w:spacing w:after="0" w:line="240" w:lineRule="auto"/>
      </w:pPr>
      <w:r>
        <w:separator/>
      </w:r>
    </w:p>
  </w:endnote>
  <w:endnote w:type="continuationSeparator" w:id="0">
    <w:p w14:paraId="7D8940B7" w14:textId="77777777" w:rsidR="006E6127" w:rsidRDefault="006E6127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B04F" w14:textId="77777777" w:rsidR="006E6127" w:rsidRDefault="006E6127" w:rsidP="006E6127">
      <w:pPr>
        <w:spacing w:after="0" w:line="240" w:lineRule="auto"/>
      </w:pPr>
      <w:r>
        <w:separator/>
      </w:r>
    </w:p>
  </w:footnote>
  <w:footnote w:type="continuationSeparator" w:id="0">
    <w:p w14:paraId="66199298" w14:textId="77777777" w:rsidR="006E6127" w:rsidRDefault="006E6127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27"/>
    <w:rsid w:val="000362E9"/>
    <w:rsid w:val="00076365"/>
    <w:rsid w:val="000A5FB7"/>
    <w:rsid w:val="000B2B25"/>
    <w:rsid w:val="000B53E0"/>
    <w:rsid w:val="000D022E"/>
    <w:rsid w:val="000D3A88"/>
    <w:rsid w:val="000D4FBC"/>
    <w:rsid w:val="000E2872"/>
    <w:rsid w:val="000F7117"/>
    <w:rsid w:val="0010106D"/>
    <w:rsid w:val="00167C0C"/>
    <w:rsid w:val="001A7EBB"/>
    <w:rsid w:val="001B577C"/>
    <w:rsid w:val="001F535B"/>
    <w:rsid w:val="00295395"/>
    <w:rsid w:val="002C5057"/>
    <w:rsid w:val="002E7CF8"/>
    <w:rsid w:val="002F5466"/>
    <w:rsid w:val="00325B09"/>
    <w:rsid w:val="00337001"/>
    <w:rsid w:val="003442F5"/>
    <w:rsid w:val="0034746F"/>
    <w:rsid w:val="0035424F"/>
    <w:rsid w:val="00397A73"/>
    <w:rsid w:val="003A3C98"/>
    <w:rsid w:val="003A7AD7"/>
    <w:rsid w:val="003F7B87"/>
    <w:rsid w:val="004136DD"/>
    <w:rsid w:val="00437B57"/>
    <w:rsid w:val="004625F6"/>
    <w:rsid w:val="00470634"/>
    <w:rsid w:val="00477FE3"/>
    <w:rsid w:val="004C63D7"/>
    <w:rsid w:val="004C6DE3"/>
    <w:rsid w:val="004E6471"/>
    <w:rsid w:val="00504A1F"/>
    <w:rsid w:val="005149F2"/>
    <w:rsid w:val="00522C7E"/>
    <w:rsid w:val="00582BA8"/>
    <w:rsid w:val="00594E21"/>
    <w:rsid w:val="005D7571"/>
    <w:rsid w:val="006128FC"/>
    <w:rsid w:val="00617410"/>
    <w:rsid w:val="006439B9"/>
    <w:rsid w:val="0066474B"/>
    <w:rsid w:val="00665346"/>
    <w:rsid w:val="0066687C"/>
    <w:rsid w:val="00666D0A"/>
    <w:rsid w:val="00675FF9"/>
    <w:rsid w:val="00676971"/>
    <w:rsid w:val="006B70DD"/>
    <w:rsid w:val="006E6127"/>
    <w:rsid w:val="006F25A8"/>
    <w:rsid w:val="00710E3A"/>
    <w:rsid w:val="00732A02"/>
    <w:rsid w:val="00751EB7"/>
    <w:rsid w:val="00767E71"/>
    <w:rsid w:val="007801DC"/>
    <w:rsid w:val="007B63D9"/>
    <w:rsid w:val="007E5905"/>
    <w:rsid w:val="00825D18"/>
    <w:rsid w:val="00830414"/>
    <w:rsid w:val="00841F22"/>
    <w:rsid w:val="00862117"/>
    <w:rsid w:val="00862C2F"/>
    <w:rsid w:val="00862D19"/>
    <w:rsid w:val="008733B4"/>
    <w:rsid w:val="0088062A"/>
    <w:rsid w:val="008869FD"/>
    <w:rsid w:val="00890982"/>
    <w:rsid w:val="00894D36"/>
    <w:rsid w:val="00896337"/>
    <w:rsid w:val="008A58A4"/>
    <w:rsid w:val="008B5A06"/>
    <w:rsid w:val="008D6E24"/>
    <w:rsid w:val="008F2278"/>
    <w:rsid w:val="008F2AD4"/>
    <w:rsid w:val="00912C2C"/>
    <w:rsid w:val="009535FE"/>
    <w:rsid w:val="00960C59"/>
    <w:rsid w:val="00966007"/>
    <w:rsid w:val="00966F38"/>
    <w:rsid w:val="00973B60"/>
    <w:rsid w:val="009D4DCA"/>
    <w:rsid w:val="009F1F3E"/>
    <w:rsid w:val="009F3E5F"/>
    <w:rsid w:val="00A03DCD"/>
    <w:rsid w:val="00A404E6"/>
    <w:rsid w:val="00A45C8A"/>
    <w:rsid w:val="00AA54E2"/>
    <w:rsid w:val="00AB7918"/>
    <w:rsid w:val="00AF45A7"/>
    <w:rsid w:val="00AF4B84"/>
    <w:rsid w:val="00B01AB4"/>
    <w:rsid w:val="00B36EBC"/>
    <w:rsid w:val="00B640E3"/>
    <w:rsid w:val="00BA33B5"/>
    <w:rsid w:val="00BD4CA1"/>
    <w:rsid w:val="00C5031A"/>
    <w:rsid w:val="00C72021"/>
    <w:rsid w:val="00CA4C84"/>
    <w:rsid w:val="00CB4F38"/>
    <w:rsid w:val="00D026B5"/>
    <w:rsid w:val="00D15871"/>
    <w:rsid w:val="00D402FB"/>
    <w:rsid w:val="00D5202E"/>
    <w:rsid w:val="00D64813"/>
    <w:rsid w:val="00D74FCA"/>
    <w:rsid w:val="00DA7D0B"/>
    <w:rsid w:val="00DB7D08"/>
    <w:rsid w:val="00E35C41"/>
    <w:rsid w:val="00E37A87"/>
    <w:rsid w:val="00E46198"/>
    <w:rsid w:val="00E541E4"/>
    <w:rsid w:val="00E729F2"/>
    <w:rsid w:val="00E75690"/>
    <w:rsid w:val="00ED67CD"/>
    <w:rsid w:val="00EE33EA"/>
    <w:rsid w:val="00EE5B37"/>
    <w:rsid w:val="00EF7466"/>
    <w:rsid w:val="00F238B9"/>
    <w:rsid w:val="00F44629"/>
    <w:rsid w:val="00F56631"/>
    <w:rsid w:val="00FA65DC"/>
    <w:rsid w:val="00FC07AE"/>
    <w:rsid w:val="00FC5BA5"/>
    <w:rsid w:val="00FD2782"/>
    <w:rsid w:val="00FD3DC8"/>
    <w:rsid w:val="07924A00"/>
    <w:rsid w:val="0A221025"/>
    <w:rsid w:val="0CF3DD37"/>
    <w:rsid w:val="104D56D9"/>
    <w:rsid w:val="1467E4D5"/>
    <w:rsid w:val="18D8EF97"/>
    <w:rsid w:val="1CA952FD"/>
    <w:rsid w:val="20F5FB14"/>
    <w:rsid w:val="21B5D8F0"/>
    <w:rsid w:val="4126FCE7"/>
    <w:rsid w:val="417988CF"/>
    <w:rsid w:val="4B87C70B"/>
    <w:rsid w:val="6654E936"/>
    <w:rsid w:val="68E25973"/>
    <w:rsid w:val="75F38B46"/>
    <w:rsid w:val="764A187E"/>
    <w:rsid w:val="7795D413"/>
    <w:rsid w:val="7F6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docId w15:val="{8897FD7E-6E5A-4160-9D80-B2D1506E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12ED0-1E47-4E11-AEE1-50BE91E2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72C9B-DCD6-417F-AD1D-BD8EF3585F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EF1CA-448D-48DC-8095-513748389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B7E49-9AD9-49C2-864B-AC335E7F7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Company>University of Leicester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Richard M. (Prof.)</dc:creator>
  <cp:lastModifiedBy>White, Karen L.</cp:lastModifiedBy>
  <cp:revision>4</cp:revision>
  <dcterms:created xsi:type="dcterms:W3CDTF">2022-11-24T09:05:00Z</dcterms:created>
  <dcterms:modified xsi:type="dcterms:W3CDTF">2022-11-24T09:07:00Z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