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FBC" w14:textId="77777777" w:rsidR="004C2022" w:rsidRDefault="004C2022" w:rsidP="004C2022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6B04EF53" w14:textId="77777777" w:rsidR="004C2022" w:rsidRDefault="004C2022" w:rsidP="004C2022">
      <w:pPr>
        <w:spacing w:line="240" w:lineRule="auto"/>
        <w:rPr>
          <w:rFonts w:eastAsia="Calibri" w:cs="Arial"/>
          <w:b/>
          <w:color w:val="000000"/>
        </w:rPr>
      </w:pPr>
      <w:r>
        <w:rPr>
          <w:rFonts w:cs="Arial"/>
          <w:b/>
        </w:rPr>
        <w:t>Future 50  PhD Scholarship</w:t>
      </w:r>
    </w:p>
    <w:p w14:paraId="0774380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9206A" w14:paraId="1AB296DC" w14:textId="77777777" w:rsidTr="0002219B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0E7EBFC8" w:rsidR="0039206A" w:rsidRPr="0039206A" w:rsidRDefault="004C202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RI EF Cai</w:t>
            </w:r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722"/>
        <w:gridCol w:w="1814"/>
        <w:gridCol w:w="1271"/>
      </w:tblGrid>
      <w:tr w:rsidR="0039206A" w:rsidRPr="0039206A" w14:paraId="6B67D973" w14:textId="77777777" w:rsidTr="0002219B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46E17BCD" w14:textId="41A518B0" w:rsidR="004100F9" w:rsidRDefault="0039402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Samuel Cai</w:t>
            </w:r>
          </w:p>
          <w:p w14:paraId="5A5AE09D" w14:textId="098B7A5A" w:rsidR="0039206A" w:rsidRPr="0039206A" w:rsidRDefault="004100F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Lecturer in Environmental Epidemiology</w:t>
            </w:r>
          </w:p>
        </w:tc>
      </w:tr>
      <w:tr w:rsidR="0039206A" w:rsidRPr="0039206A" w14:paraId="304F823A" w14:textId="77777777" w:rsidTr="0002219B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10747C8D" w:rsidR="0039206A" w:rsidRPr="0039206A" w:rsidRDefault="0039402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Department of Health Sciences</w:t>
            </w:r>
            <w:r w:rsidR="00503539">
              <w:rPr>
                <w:rFonts w:ascii="Calibri" w:eastAsia="Calibri" w:hAnsi="Calibri" w:cs="Calibri"/>
                <w:color w:val="000000"/>
                <w:lang w:eastAsia="en-GB"/>
              </w:rPr>
              <w:t>, Centre for Environmental Health and Sustainability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9206A" w:rsidRPr="0039206A" w14:paraId="6017FF4B" w14:textId="77777777" w:rsidTr="00394028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722" w:type="dxa"/>
          </w:tcPr>
          <w:p w14:paraId="3FEC5E19" w14:textId="114190E2" w:rsidR="0039206A" w:rsidRPr="0039206A" w:rsidRDefault="007421E4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10" w:history="1">
              <w:r w:rsidRPr="00CE6D6E">
                <w:rPr>
                  <w:rStyle w:val="Hyperlink"/>
                  <w:rFonts w:ascii="Calibri" w:eastAsia="Calibri" w:hAnsi="Calibri" w:cs="Calibri"/>
                  <w:lang w:eastAsia="en-GB"/>
                </w:rPr>
                <w:t>yc368@leicester.ac.uk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0002219B"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08564E01" w14:textId="41F6571A" w:rsidR="004100F9" w:rsidRDefault="0050353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Nibedita S Ray Bennett</w:t>
            </w:r>
            <w:r w:rsidR="004100F9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5C161CBD" w14:textId="6957EA4C" w:rsidR="0039206A" w:rsidRPr="0039206A" w:rsidRDefault="004100F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Associate Professor in Risk Management</w:t>
            </w:r>
          </w:p>
        </w:tc>
      </w:tr>
      <w:tr w:rsidR="0039206A" w:rsidRPr="0039206A" w14:paraId="19CCB21F" w14:textId="77777777" w:rsidTr="0002219B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57A67127" w:rsidR="0039206A" w:rsidRPr="0039206A" w:rsidRDefault="0050353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School of Business</w:t>
            </w:r>
          </w:p>
        </w:tc>
      </w:tr>
      <w:tr w:rsidR="0039206A" w:rsidRPr="0039206A" w14:paraId="2FD12115" w14:textId="77777777" w:rsidTr="0002219B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144A2388" w:rsidR="0039206A" w:rsidRPr="0039206A" w:rsidRDefault="0050353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nsrb1@le.ac.uk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02219B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7EE07BBE" w14:textId="2271575C" w:rsidR="004100F9" w:rsidRDefault="0050353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Joshua Vande H</w:t>
            </w:r>
            <w:r w:rsidR="004100F9">
              <w:rPr>
                <w:rFonts w:ascii="Calibri" w:eastAsia="Calibri" w:hAnsi="Calibri" w:cs="Calibri"/>
                <w:color w:val="000000"/>
                <w:lang w:eastAsia="en-GB"/>
              </w:rPr>
              <w:t xml:space="preserve">ey </w:t>
            </w:r>
          </w:p>
          <w:p w14:paraId="10B91688" w14:textId="03340CEC" w:rsidR="004100F9" w:rsidRDefault="004100F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Associate Professor in Environment and Health</w:t>
            </w:r>
          </w:p>
          <w:p w14:paraId="1258FBA5" w14:textId="630A521E" w:rsidR="004100F9" w:rsidRDefault="00503539" w:rsidP="0039206A">
            <w:pPr>
              <w:spacing w:after="1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of Physics and Astronomy</w:t>
            </w:r>
            <w:r w:rsidR="004100F9">
              <w:rPr>
                <w:rFonts w:asciiTheme="minorHAnsi" w:hAnsiTheme="minorHAnsi" w:cstheme="minorHAnsi"/>
              </w:rPr>
              <w:t xml:space="preserve"> </w:t>
            </w:r>
          </w:p>
          <w:p w14:paraId="149E23C4" w14:textId="27A22458" w:rsidR="0039206A" w:rsidRPr="0039206A" w:rsidRDefault="0050353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jvh7@le</w:t>
            </w:r>
            <w:r w:rsidRPr="00952CF2">
              <w:rPr>
                <w:rFonts w:asciiTheme="minorHAnsi" w:hAnsiTheme="minorHAnsi" w:cstheme="minorHAnsi"/>
              </w:rPr>
              <w:t>.ac.uk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9206A" w:rsidRPr="0039206A" w14:paraId="5C7F2245" w14:textId="77777777" w:rsidTr="0002219B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1C16E89F" w:rsidR="0039206A" w:rsidRPr="0039206A" w:rsidRDefault="008D3ADF" w:rsidP="00F84CFC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8D3ADF">
              <w:rPr>
                <w:rFonts w:ascii="Calibri" w:eastAsia="Calibri" w:hAnsi="Calibri" w:cs="Calibri"/>
                <w:i/>
                <w:color w:val="000000"/>
                <w:lang w:eastAsia="en-GB"/>
              </w:rPr>
              <w:t>Feeling the heat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: a mixed-methods investigation into the impacts of indoor temperature during heatwaves on populations with chronic health conditions </w:t>
            </w:r>
            <w:r w:rsidR="00F84CFC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9206A" w:rsidRPr="0039206A" w14:paraId="0BA24187" w14:textId="77777777" w:rsidTr="0002219B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55D0428D" w:rsidR="0039206A" w:rsidRPr="0039206A" w:rsidRDefault="00303A58" w:rsidP="00303A58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Establishing a maximum indoor temperature threshold to protect vulnerable people and manage heat-related immediate health risks for future heatwaves; </w:t>
            </w:r>
          </w:p>
        </w:tc>
      </w:tr>
      <w:tr w:rsidR="0039206A" w:rsidRPr="0039206A" w14:paraId="386423AB" w14:textId="77777777" w:rsidTr="0002219B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58700C2A" w:rsidR="0039206A" w:rsidRPr="0039206A" w:rsidRDefault="00303A5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Using a holistic approach to investigat</w:t>
            </w:r>
            <w:r w:rsidR="004100F9">
              <w:rPr>
                <w:rFonts w:ascii="Calibri" w:eastAsia="Calibri" w:hAnsi="Calibri" w:cs="Calibri"/>
                <w:color w:val="000000"/>
                <w:lang w:eastAsia="en-GB"/>
              </w:rPr>
              <w:t>ing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a wide range of factors that affect indoor temperature, from home outdoor environment, demographical profiles to personal perceptions and behavioural changes toward high temperature;  </w:t>
            </w:r>
          </w:p>
        </w:tc>
      </w:tr>
      <w:tr w:rsidR="0039206A" w:rsidRPr="0039206A" w14:paraId="55C3CAE0" w14:textId="77777777" w:rsidTr="0002219B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53649975" w:rsidR="0039206A" w:rsidRPr="0039206A" w:rsidRDefault="00303A58" w:rsidP="002430CE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Providing</w:t>
            </w:r>
            <w:r w:rsidRPr="00303A58">
              <w:rPr>
                <w:rFonts w:ascii="Calibri" w:eastAsia="Calibri" w:hAnsi="Calibri" w:cs="Calibri"/>
                <w:color w:val="000000"/>
                <w:lang w:eastAsia="en-GB"/>
              </w:rPr>
              <w:t xml:space="preserve"> excellent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inter-disciplinary</w:t>
            </w:r>
            <w:r w:rsidRPr="00303A58">
              <w:rPr>
                <w:rFonts w:ascii="Calibri" w:eastAsia="Calibri" w:hAnsi="Calibri" w:cs="Calibri"/>
                <w:color w:val="000000"/>
                <w:lang w:eastAsia="en-GB"/>
              </w:rPr>
              <w:t xml:space="preserve"> training for the candidate on epidemiology, exposure</w:t>
            </w:r>
            <w:r w:rsidR="004100F9">
              <w:rPr>
                <w:rFonts w:ascii="Calibri" w:eastAsia="Calibri" w:hAnsi="Calibri" w:cs="Calibri"/>
                <w:color w:val="000000"/>
                <w:lang w:eastAsia="en-GB"/>
              </w:rPr>
              <w:t>/climate</w:t>
            </w:r>
            <w:r w:rsidRPr="00303A58">
              <w:rPr>
                <w:rFonts w:ascii="Calibri" w:eastAsia="Calibri" w:hAnsi="Calibri" w:cs="Calibri"/>
                <w:color w:val="000000"/>
                <w:lang w:eastAsia="en-GB"/>
              </w:rPr>
              <w:t xml:space="preserve"> science, and qu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alitative research methods and producing robust</w:t>
            </w:r>
            <w:r w:rsidRPr="00303A58">
              <w:rPr>
                <w:rFonts w:ascii="Calibri" w:eastAsia="Calibri" w:hAnsi="Calibri" w:cs="Calibri"/>
                <w:color w:val="000000"/>
                <w:lang w:eastAsia="en-GB"/>
              </w:rPr>
              <w:t xml:space="preserve"> evidence for policy discussion on the health impacts o</w:t>
            </w:r>
            <w:r w:rsidR="00FD46AC">
              <w:rPr>
                <w:rFonts w:ascii="Calibri" w:eastAsia="Calibri" w:hAnsi="Calibri" w:cs="Calibri"/>
                <w:color w:val="000000"/>
                <w:lang w:eastAsia="en-GB"/>
              </w:rPr>
              <w:t xml:space="preserve">f climate change </w:t>
            </w:r>
            <w:r w:rsidR="002430CE">
              <w:rPr>
                <w:rFonts w:ascii="Calibri" w:eastAsia="Calibri" w:hAnsi="Calibri" w:cs="Calibri"/>
                <w:color w:val="000000"/>
                <w:lang w:eastAsia="en-GB"/>
              </w:rPr>
              <w:t xml:space="preserve">as well as </w:t>
            </w:r>
            <w:r w:rsidR="002430CE" w:rsidRPr="002430CE">
              <w:rPr>
                <w:rFonts w:ascii="Calibri" w:eastAsia="Calibri" w:hAnsi="Calibri" w:cs="Calibri"/>
                <w:color w:val="000000"/>
                <w:lang w:eastAsia="en-GB"/>
              </w:rPr>
              <w:t>approach</w:t>
            </w:r>
            <w:r w:rsidR="002430CE">
              <w:rPr>
                <w:rFonts w:ascii="Calibri" w:eastAsia="Calibri" w:hAnsi="Calibri" w:cs="Calibri"/>
                <w:color w:val="000000"/>
                <w:lang w:eastAsia="en-GB"/>
              </w:rPr>
              <w:t xml:space="preserve">es for heat disaster </w:t>
            </w:r>
            <w:r w:rsidR="002430CE" w:rsidRPr="002430CE">
              <w:rPr>
                <w:rFonts w:ascii="Calibri" w:eastAsia="Calibri" w:hAnsi="Calibri" w:cs="Calibri"/>
                <w:color w:val="000000"/>
                <w:lang w:eastAsia="en-GB"/>
              </w:rPr>
              <w:t>response</w:t>
            </w:r>
          </w:p>
        </w:tc>
      </w:tr>
      <w:tr w:rsidR="0039206A" w:rsidRPr="0039206A" w14:paraId="78C09C5D" w14:textId="77777777" w:rsidTr="0002219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002219B">
        <w:tc>
          <w:tcPr>
            <w:tcW w:w="9016" w:type="dxa"/>
            <w:gridSpan w:val="3"/>
          </w:tcPr>
          <w:p w14:paraId="71AE940F" w14:textId="3C3D858D" w:rsidR="006B4C28" w:rsidRDefault="0002219B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As the climate changes</w:t>
            </w:r>
            <w:r w:rsidR="004319E8">
              <w:rPr>
                <w:rFonts w:ascii="Calibri" w:eastAsia="Calibri" w:hAnsi="Calibri" w:cs="Calibri"/>
                <w:color w:val="000000"/>
                <w:lang w:eastAsia="en-GB"/>
              </w:rPr>
              <w:t>, p</w:t>
            </w:r>
            <w:r w:rsidR="00395716">
              <w:rPr>
                <w:rFonts w:ascii="Calibri" w:eastAsia="Calibri" w:hAnsi="Calibri" w:cs="Calibri"/>
                <w:color w:val="000000"/>
                <w:lang w:eastAsia="en-GB"/>
              </w:rPr>
              <w:t xml:space="preserve">eriods of high temperature (i.e. heatwaves) </w:t>
            </w:r>
            <w:r w:rsidR="0039412A">
              <w:rPr>
                <w:rFonts w:ascii="Calibri" w:eastAsia="Calibri" w:hAnsi="Calibri" w:cs="Calibri"/>
                <w:color w:val="000000"/>
                <w:lang w:eastAsia="en-GB"/>
              </w:rPr>
              <w:t xml:space="preserve">will </w:t>
            </w:r>
            <w:r w:rsidR="00395716">
              <w:rPr>
                <w:rFonts w:ascii="Calibri" w:eastAsia="Calibri" w:hAnsi="Calibri" w:cs="Calibri"/>
                <w:color w:val="000000"/>
                <w:lang w:eastAsia="en-GB"/>
              </w:rPr>
              <w:t>become more frequent and more intense in the coming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decades in the UK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  <w:p w14:paraId="55043115" w14:textId="0B238B8E" w:rsidR="0075539D" w:rsidRDefault="00766E0E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lastRenderedPageBreak/>
              <w:t>The</w:t>
            </w:r>
            <w:r w:rsidR="0083788C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483765">
              <w:rPr>
                <w:rFonts w:ascii="Calibri" w:eastAsia="Calibri" w:hAnsi="Calibri" w:cs="Calibri"/>
                <w:color w:val="000000"/>
                <w:lang w:eastAsia="en-GB"/>
              </w:rPr>
              <w:t xml:space="preserve">current </w:t>
            </w:r>
            <w:r w:rsidR="00545491">
              <w:rPr>
                <w:rFonts w:ascii="Calibri" w:eastAsia="Calibri" w:hAnsi="Calibri" w:cs="Calibri"/>
                <w:color w:val="000000"/>
                <w:lang w:eastAsia="en-GB"/>
              </w:rPr>
              <w:t>Heatwave P</w:t>
            </w:r>
            <w:r w:rsidR="0083788C">
              <w:rPr>
                <w:rFonts w:ascii="Calibri" w:eastAsia="Calibri" w:hAnsi="Calibri" w:cs="Calibri"/>
                <w:color w:val="000000"/>
                <w:lang w:eastAsia="en-GB"/>
              </w:rPr>
              <w:t>lan</w:t>
            </w:r>
            <w:r w:rsidR="00545491">
              <w:rPr>
                <w:rFonts w:ascii="Calibri" w:eastAsia="Calibri" w:hAnsi="Calibri" w:cs="Calibri"/>
                <w:color w:val="000000"/>
                <w:lang w:eastAsia="en-GB"/>
              </w:rPr>
              <w:t xml:space="preserve"> for</w:t>
            </w:r>
            <w:r w:rsidR="0083788C">
              <w:rPr>
                <w:rFonts w:ascii="Calibri" w:eastAsia="Calibri" w:hAnsi="Calibri" w:cs="Calibri"/>
                <w:color w:val="000000"/>
                <w:lang w:eastAsia="en-GB"/>
              </w:rPr>
              <w:t xml:space="preserve"> England is primarily </w:t>
            </w:r>
            <w:r w:rsidR="0002219B">
              <w:rPr>
                <w:rFonts w:ascii="Calibri" w:eastAsia="Calibri" w:hAnsi="Calibri" w:cs="Calibri"/>
                <w:color w:val="000000"/>
                <w:lang w:eastAsia="en-GB"/>
              </w:rPr>
              <w:t>informed by</w:t>
            </w:r>
            <w:r w:rsidR="0083788C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BB20B5">
              <w:rPr>
                <w:rFonts w:ascii="Calibri" w:eastAsia="Calibri" w:hAnsi="Calibri" w:cs="Calibri"/>
                <w:color w:val="000000"/>
                <w:lang w:eastAsia="en-GB"/>
              </w:rPr>
              <w:t xml:space="preserve">epidemiological </w:t>
            </w:r>
            <w:r w:rsidR="0083788C">
              <w:rPr>
                <w:rFonts w:ascii="Calibri" w:eastAsia="Calibri" w:hAnsi="Calibri" w:cs="Calibri"/>
                <w:color w:val="000000"/>
                <w:lang w:eastAsia="en-GB"/>
              </w:rPr>
              <w:t xml:space="preserve">evidence </w:t>
            </w:r>
            <w:r w:rsidR="00545491">
              <w:rPr>
                <w:rFonts w:ascii="Calibri" w:eastAsia="Calibri" w:hAnsi="Calibri" w:cs="Calibri"/>
                <w:color w:val="000000"/>
                <w:lang w:eastAsia="en-GB"/>
              </w:rPr>
              <w:t>of</w:t>
            </w:r>
            <w:r w:rsidR="0083788C">
              <w:rPr>
                <w:rFonts w:ascii="Calibri" w:eastAsia="Calibri" w:hAnsi="Calibri" w:cs="Calibri"/>
                <w:color w:val="000000"/>
                <w:lang w:eastAsia="en-GB"/>
              </w:rPr>
              <w:t xml:space="preserve"> outdoor temperature (as a p</w:t>
            </w:r>
            <w:r w:rsidR="00545491">
              <w:rPr>
                <w:rFonts w:ascii="Calibri" w:eastAsia="Calibri" w:hAnsi="Calibri" w:cs="Calibri"/>
                <w:color w:val="000000"/>
                <w:lang w:eastAsia="en-GB"/>
              </w:rPr>
              <w:t xml:space="preserve">roxy of individual exposure) </w:t>
            </w:r>
            <w:r w:rsidR="0002219B">
              <w:rPr>
                <w:rFonts w:ascii="Calibri" w:eastAsia="Calibri" w:hAnsi="Calibri" w:cs="Calibri"/>
                <w:color w:val="000000"/>
                <w:lang w:eastAsia="en-GB"/>
              </w:rPr>
              <w:t>to issue heatwaves alerts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 xml:space="preserve">It 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>does not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>, however,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 consider the nuanced relationships between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 xml:space="preserve"> home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 outdoor and indoor temperature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>;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39412A">
              <w:rPr>
                <w:rFonts w:ascii="Calibri" w:eastAsia="Calibri" w:hAnsi="Calibri" w:cs="Calibri"/>
                <w:color w:val="000000"/>
                <w:lang w:eastAsia="en-GB"/>
              </w:rPr>
              <w:t xml:space="preserve">the 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>immediate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 health impacts of 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 xml:space="preserve">high 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>indoor temperature;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differential perceptions and behavioural changes toward high temperature among individuals. 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>T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here is 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 xml:space="preserve">currently 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>no agreed threshold on indoor temperature in residen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>tial settings to protect health from</w:t>
            </w:r>
            <w:r w:rsidR="00C02186">
              <w:rPr>
                <w:rFonts w:ascii="Calibri" w:eastAsia="Calibri" w:hAnsi="Calibri" w:cs="Calibri"/>
                <w:color w:val="000000"/>
                <w:lang w:eastAsia="en-GB"/>
              </w:rPr>
              <w:t xml:space="preserve"> heatwaves</w:t>
            </w:r>
            <w:r w:rsidR="0075539D">
              <w:rPr>
                <w:rFonts w:ascii="Calibri" w:eastAsia="Calibri" w:hAnsi="Calibri" w:cs="Calibri"/>
                <w:color w:val="000000"/>
                <w:lang w:eastAsia="en-GB"/>
              </w:rPr>
              <w:t xml:space="preserve">. Research is particularly needed among 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 xml:space="preserve">people </w:t>
            </w:r>
            <w:r w:rsidR="0075539D">
              <w:rPr>
                <w:rFonts w:ascii="Calibri" w:eastAsia="Calibri" w:hAnsi="Calibri" w:cs="Calibri"/>
                <w:color w:val="000000"/>
                <w:lang w:eastAsia="en-GB"/>
              </w:rPr>
              <w:t xml:space="preserve">with heat-sensitive health conditions, as 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>they</w:t>
            </w:r>
            <w:r w:rsidR="0075539D">
              <w:rPr>
                <w:rFonts w:ascii="Calibri" w:eastAsia="Calibri" w:hAnsi="Calibri" w:cs="Calibri"/>
                <w:color w:val="000000"/>
                <w:lang w:eastAsia="en-GB"/>
              </w:rPr>
              <w:t xml:space="preserve"> are more likely to </w:t>
            </w:r>
            <w:r w:rsidR="00483765">
              <w:rPr>
                <w:rFonts w:ascii="Calibri" w:eastAsia="Calibri" w:hAnsi="Calibri" w:cs="Calibri"/>
                <w:color w:val="000000"/>
                <w:lang w:eastAsia="en-GB"/>
              </w:rPr>
              <w:t>stay</w:t>
            </w:r>
            <w:r w:rsidR="0075539D">
              <w:rPr>
                <w:rFonts w:ascii="Calibri" w:eastAsia="Calibri" w:hAnsi="Calibri" w:cs="Calibri"/>
                <w:color w:val="000000"/>
                <w:lang w:eastAsia="en-GB"/>
              </w:rPr>
              <w:t xml:space="preserve"> at home and at higher risks to be </w:t>
            </w:r>
            <w:r w:rsidR="0039412A">
              <w:rPr>
                <w:rFonts w:ascii="Calibri" w:eastAsia="Calibri" w:hAnsi="Calibri" w:cs="Calibri"/>
                <w:color w:val="000000"/>
                <w:lang w:eastAsia="en-GB"/>
              </w:rPr>
              <w:t>hospitalised</w:t>
            </w:r>
            <w:r w:rsidR="0075539D"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</w:p>
          <w:p w14:paraId="01C12E87" w14:textId="70106D6F" w:rsidR="00735B62" w:rsidRDefault="00735B6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The key question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>: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does it exist a threshold of indoor temperature at which 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 xml:space="preserve">immediate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heat-related symptoms start to emerge so both health professionals and at-risk groups can take actions to minimise the risk</w:t>
            </w:r>
            <w:r w:rsidR="00EC79AA">
              <w:rPr>
                <w:rFonts w:ascii="Calibri" w:eastAsia="Calibri" w:hAnsi="Calibri" w:cs="Calibri"/>
                <w:color w:val="000000"/>
                <w:lang w:eastAsia="en-GB"/>
              </w:rPr>
              <w:t xml:space="preserve"> of hospitalisation or death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? </w:t>
            </w:r>
          </w:p>
          <w:p w14:paraId="2928E0E5" w14:textId="71313378" w:rsidR="003E2795" w:rsidRDefault="00735B6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This study will use a sub-sample from the Leicester-based EXCEED cohort, consisting of 500-600 participants with chronic heart, lung, kidney diseases </w:t>
            </w:r>
            <w:r w:rsidR="00BF1DD5">
              <w:rPr>
                <w:rFonts w:ascii="Calibri" w:eastAsia="Calibri" w:hAnsi="Calibri" w:cs="Calibri"/>
                <w:color w:val="000000"/>
                <w:lang w:eastAsia="en-GB"/>
              </w:rPr>
              <w:t>and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diabetes. </w:t>
            </w:r>
            <w:r w:rsidR="00BF1DD5">
              <w:rPr>
                <w:rFonts w:ascii="Calibri" w:eastAsia="Calibri" w:hAnsi="Calibri" w:cs="Calibri"/>
                <w:color w:val="000000"/>
                <w:lang w:eastAsia="en-GB"/>
              </w:rPr>
              <w:t>Thermometer will be installed in participants’ homes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 xml:space="preserve"> (living room and bedroom)</w:t>
            </w:r>
            <w:r w:rsidR="00BF1DD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C31BEE">
              <w:rPr>
                <w:rFonts w:ascii="Calibri" w:eastAsia="Calibri" w:hAnsi="Calibri" w:cs="Calibri"/>
                <w:color w:val="000000"/>
                <w:lang w:eastAsia="en-GB"/>
              </w:rPr>
              <w:t xml:space="preserve">in 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>early</w:t>
            </w:r>
            <w:r w:rsidR="00F84CFC">
              <w:rPr>
                <w:rFonts w:ascii="Calibri" w:eastAsia="Calibri" w:hAnsi="Calibri" w:cs="Calibri"/>
                <w:color w:val="000000"/>
                <w:lang w:eastAsia="en-GB"/>
              </w:rPr>
              <w:t xml:space="preserve"> 2024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F84CFC">
              <w:rPr>
                <w:rFonts w:ascii="Calibri" w:eastAsia="Calibri" w:hAnsi="Calibri" w:cs="Calibri"/>
                <w:color w:val="000000"/>
                <w:lang w:eastAsia="en-GB"/>
              </w:rPr>
              <w:t>and indoor temperature will be recorded on a daily basis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 xml:space="preserve"> (at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 xml:space="preserve"> hourly resolution)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 xml:space="preserve"> from May-</w:t>
            </w:r>
            <w:r w:rsidR="00F84CFC">
              <w:rPr>
                <w:rFonts w:ascii="Calibri" w:eastAsia="Calibri" w:hAnsi="Calibri" w:cs="Calibri"/>
                <w:color w:val="000000"/>
                <w:lang w:eastAsia="en-GB"/>
              </w:rPr>
              <w:t xml:space="preserve">September 2024. </w:t>
            </w:r>
          </w:p>
          <w:p w14:paraId="0BD126D9" w14:textId="6B1B18CC" w:rsidR="00EC36F0" w:rsidRDefault="00C14EA2" w:rsidP="00EC36F0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I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n different outdoor temperature periods (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18–22°C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, 22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–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26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°C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, 26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–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30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°C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, 30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–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34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°C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, &gt;34</w:t>
            </w:r>
            <w:r w:rsidR="003E2795" w:rsidRPr="003E2795">
              <w:rPr>
                <w:rFonts w:ascii="Calibri" w:eastAsia="Calibri" w:hAnsi="Calibri" w:cs="Calibri"/>
                <w:color w:val="000000"/>
                <w:lang w:eastAsia="en-GB"/>
              </w:rPr>
              <w:t>°C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>), a telephone follow-up with questionnaire</w:t>
            </w:r>
            <w:r w:rsidR="00EC36F0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 xml:space="preserve"> will be con</w:t>
            </w:r>
            <w:r w:rsidR="00C30E4E">
              <w:rPr>
                <w:rFonts w:ascii="Calibri" w:eastAsia="Calibri" w:hAnsi="Calibri" w:cs="Calibri"/>
                <w:color w:val="000000"/>
                <w:lang w:eastAsia="en-GB"/>
              </w:rPr>
              <w:t>ducted to collect data on heat</w:t>
            </w:r>
            <w:r w:rsidR="00483765">
              <w:rPr>
                <w:rFonts w:ascii="Calibri" w:eastAsia="Calibri" w:hAnsi="Calibri" w:cs="Calibri"/>
                <w:color w:val="000000"/>
                <w:lang w:eastAsia="en-GB"/>
              </w:rPr>
              <w:t>-related symptoms, perception towards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EC36F0">
              <w:rPr>
                <w:rFonts w:ascii="Calibri" w:eastAsia="Calibri" w:hAnsi="Calibri" w:cs="Calibri"/>
                <w:color w:val="000000"/>
                <w:lang w:eastAsia="en-GB"/>
              </w:rPr>
              <w:t xml:space="preserve">indoor </w:t>
            </w:r>
            <w:r w:rsidR="003E2795">
              <w:rPr>
                <w:rFonts w:ascii="Calibri" w:eastAsia="Calibri" w:hAnsi="Calibri" w:cs="Calibri"/>
                <w:color w:val="000000"/>
                <w:lang w:eastAsia="en-GB"/>
              </w:rPr>
              <w:t xml:space="preserve">thermal comfort and behavioural changes.   </w:t>
            </w:r>
          </w:p>
          <w:p w14:paraId="0BF36885" w14:textId="7F40D59D" w:rsidR="00EC36F0" w:rsidRDefault="00726B8C" w:rsidP="00EC36F0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These data will then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 xml:space="preserve"> be analy</w:t>
            </w:r>
            <w:r w:rsidR="004100F9">
              <w:rPr>
                <w:rFonts w:ascii="Calibri" w:eastAsia="Calibri" w:hAnsi="Calibri" w:cs="Calibri"/>
                <w:color w:val="000000"/>
                <w:lang w:eastAsia="en-GB"/>
              </w:rPr>
              <w:t>sed for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 xml:space="preserve"> three objectives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: </w:t>
            </w:r>
          </w:p>
          <w:p w14:paraId="589D6623" w14:textId="47C36B22" w:rsidR="00BF1DD5" w:rsidRDefault="00BF1DD5" w:rsidP="00BF1DD5">
            <w:pPr>
              <w:pStyle w:val="ListParagraph"/>
              <w:numPr>
                <w:ilvl w:val="0"/>
                <w:numId w:val="11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To 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>characterise the relationship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between 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>home outdoor and indo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>or temperature, and</w:t>
            </w:r>
            <w:r w:rsidR="004100F9">
              <w:rPr>
                <w:rFonts w:ascii="Calibri" w:eastAsia="Calibri" w:hAnsi="Calibri" w:cs="Calibri"/>
                <w:color w:val="000000"/>
                <w:lang w:eastAsia="en-GB"/>
              </w:rPr>
              <w:t xml:space="preserve"> whether such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 xml:space="preserve"> relationship </w:t>
            </w:r>
            <w:r w:rsidR="00E46DE2">
              <w:rPr>
                <w:rFonts w:ascii="Calibri" w:eastAsia="Calibri" w:hAnsi="Calibri" w:cs="Calibri"/>
                <w:color w:val="000000"/>
                <w:lang w:eastAsia="en-GB"/>
              </w:rPr>
              <w:t>is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 xml:space="preserve"> modified by different housing types, socioeconomic positions and green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>/blue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 xml:space="preserve"> infrastructure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 xml:space="preserve"> nearby (e.g. parks, </w:t>
            </w:r>
            <w:r w:rsidR="00B20467">
              <w:rPr>
                <w:rFonts w:ascii="Calibri" w:eastAsia="Calibri" w:hAnsi="Calibri" w:cs="Calibri"/>
                <w:color w:val="000000"/>
                <w:lang w:eastAsia="en-GB"/>
              </w:rPr>
              <w:t xml:space="preserve">rivers, </w:t>
            </w:r>
            <w:r w:rsidR="00726B8C">
              <w:rPr>
                <w:rFonts w:ascii="Calibri" w:eastAsia="Calibri" w:hAnsi="Calibri" w:cs="Calibri"/>
                <w:color w:val="000000"/>
                <w:lang w:eastAsia="en-GB"/>
              </w:rPr>
              <w:t xml:space="preserve">tree-lined streets); </w:t>
            </w:r>
          </w:p>
          <w:p w14:paraId="2CC412DA" w14:textId="12C2DD42" w:rsidR="00726B8C" w:rsidRDefault="00726B8C" w:rsidP="00BF1DD5">
            <w:pPr>
              <w:pStyle w:val="ListParagraph"/>
              <w:numPr>
                <w:ilvl w:val="0"/>
                <w:numId w:val="11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To establish the exposure-response curves between indoor temperature and several immediate health outcomes of heat (e.g. </w:t>
            </w:r>
            <w:r w:rsidRPr="00726B8C">
              <w:rPr>
                <w:rFonts w:ascii="Calibri" w:eastAsia="Calibri" w:hAnsi="Calibri" w:cs="Calibri"/>
                <w:color w:val="000000"/>
                <w:lang w:eastAsia="en-GB"/>
              </w:rPr>
              <w:t xml:space="preserve">anxiety, dry mouth, cramps, fatigue, nausea, headache, loss of consciousness,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breathlessness, </w:t>
            </w:r>
            <w:r w:rsidRPr="00726B8C">
              <w:rPr>
                <w:rFonts w:ascii="Calibri" w:eastAsia="Calibri" w:hAnsi="Calibri" w:cs="Calibri"/>
                <w:color w:val="000000"/>
                <w:lang w:eastAsia="en-GB"/>
              </w:rPr>
              <w:t>trouble sleeping,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etc</w:t>
            </w:r>
            <w:r w:rsidR="00C14EA2">
              <w:rPr>
                <w:rFonts w:ascii="Calibri" w:eastAsia="Calibri" w:hAnsi="Calibri" w:cs="Calibri"/>
                <w:color w:val="000000"/>
                <w:lang w:eastAsia="en-GB"/>
              </w:rPr>
              <w:t>) in different disease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groups; </w:t>
            </w:r>
          </w:p>
          <w:p w14:paraId="78D482CE" w14:textId="1513394E" w:rsidR="00726B8C" w:rsidRPr="00B20467" w:rsidRDefault="00726B8C" w:rsidP="00726B8C">
            <w:pPr>
              <w:pStyle w:val="ListParagraph"/>
              <w:numPr>
                <w:ilvl w:val="0"/>
                <w:numId w:val="11"/>
              </w:num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To understand the varying perceptions and behavioural changes toward high temperature and qualitatively summarise possible routes for future interventions. </w:t>
            </w:r>
          </w:p>
        </w:tc>
      </w:tr>
    </w:tbl>
    <w:p w14:paraId="3CD2B30E" w14:textId="77777777" w:rsidR="002240E0" w:rsidRDefault="002240E0"/>
    <w:sectPr w:rsidR="0022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040E" w14:textId="77777777" w:rsidR="002430CE" w:rsidRDefault="002430CE" w:rsidP="002430CE">
      <w:pPr>
        <w:spacing w:line="240" w:lineRule="auto"/>
      </w:pPr>
      <w:r>
        <w:separator/>
      </w:r>
    </w:p>
  </w:endnote>
  <w:endnote w:type="continuationSeparator" w:id="0">
    <w:p w14:paraId="55E804E6" w14:textId="77777777" w:rsidR="002430CE" w:rsidRDefault="002430CE" w:rsidP="00243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2A2A" w14:textId="77777777" w:rsidR="002430CE" w:rsidRDefault="002430CE" w:rsidP="002430CE">
      <w:pPr>
        <w:spacing w:line="240" w:lineRule="auto"/>
      </w:pPr>
      <w:r>
        <w:separator/>
      </w:r>
    </w:p>
  </w:footnote>
  <w:footnote w:type="continuationSeparator" w:id="0">
    <w:p w14:paraId="694554B5" w14:textId="77777777" w:rsidR="002430CE" w:rsidRDefault="002430CE" w:rsidP="00243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2D6152"/>
    <w:multiLevelType w:val="hybridMultilevel"/>
    <w:tmpl w:val="D228C628"/>
    <w:lvl w:ilvl="0" w:tplc="D5607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2219B"/>
    <w:rsid w:val="000554B0"/>
    <w:rsid w:val="0005598D"/>
    <w:rsid w:val="000C280D"/>
    <w:rsid w:val="001550D6"/>
    <w:rsid w:val="002240E0"/>
    <w:rsid w:val="002430CE"/>
    <w:rsid w:val="002735DD"/>
    <w:rsid w:val="00303A58"/>
    <w:rsid w:val="0039206A"/>
    <w:rsid w:val="00394028"/>
    <w:rsid w:val="0039412A"/>
    <w:rsid w:val="00395716"/>
    <w:rsid w:val="003E2795"/>
    <w:rsid w:val="004100F9"/>
    <w:rsid w:val="004319E8"/>
    <w:rsid w:val="0047561F"/>
    <w:rsid w:val="00483765"/>
    <w:rsid w:val="004C2022"/>
    <w:rsid w:val="00503539"/>
    <w:rsid w:val="00545491"/>
    <w:rsid w:val="00553917"/>
    <w:rsid w:val="005673DF"/>
    <w:rsid w:val="00626CF0"/>
    <w:rsid w:val="006B4C28"/>
    <w:rsid w:val="00726B8C"/>
    <w:rsid w:val="00735B62"/>
    <w:rsid w:val="007421E4"/>
    <w:rsid w:val="0075539D"/>
    <w:rsid w:val="00766E0E"/>
    <w:rsid w:val="007C4B76"/>
    <w:rsid w:val="007F6DE6"/>
    <w:rsid w:val="0083788C"/>
    <w:rsid w:val="008D3ADF"/>
    <w:rsid w:val="00A05206"/>
    <w:rsid w:val="00B20467"/>
    <w:rsid w:val="00BB20B5"/>
    <w:rsid w:val="00BF1DD5"/>
    <w:rsid w:val="00C02186"/>
    <w:rsid w:val="00C14EA2"/>
    <w:rsid w:val="00C30E4E"/>
    <w:rsid w:val="00C31BEE"/>
    <w:rsid w:val="00C7653F"/>
    <w:rsid w:val="00D50E9B"/>
    <w:rsid w:val="00E016F9"/>
    <w:rsid w:val="00E46DE2"/>
    <w:rsid w:val="00E95501"/>
    <w:rsid w:val="00EC36F0"/>
    <w:rsid w:val="00EC79AA"/>
    <w:rsid w:val="00F84CFC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8346BE86-DAE5-45E0-B772-C9450259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0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30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C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42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c368@leic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2" ma:contentTypeDescription="Create a new document." ma:contentTypeScope="" ma:versionID="0b7587c5f70eee471f89129a43744b90">
  <xsd:schema xmlns:xsd="http://www.w3.org/2001/XMLSchema" xmlns:xs="http://www.w3.org/2001/XMLSchema" xmlns:p="http://schemas.microsoft.com/office/2006/metadata/properties" xmlns:ns2="a3e275ff-89cc-44e6-b4bf-7f0856b3333d" targetNamespace="http://schemas.microsoft.com/office/2006/metadata/properties" ma:root="true" ma:fieldsID="c76cd0ded74c67e0ae65d6dcaf27afa4" ns2:_="">
    <xsd:import namespace="a3e275ff-89cc-44e6-b4bf-7f0856b3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75ff-89cc-44e6-b4bf-7f0856b3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DF972-811C-4622-92E1-12BA23C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75ff-89cc-44e6-b4bf-7f0856b3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F0F4-ABB4-4E1F-8E4D-D1032F363A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3e275ff-89cc-44e6-b4bf-7f0856b333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3</cp:revision>
  <dcterms:created xsi:type="dcterms:W3CDTF">2022-11-21T12:22:00Z</dcterms:created>
  <dcterms:modified xsi:type="dcterms:W3CDTF">2022-11-23T16:51:00Z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</Properties>
</file>