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F82A" w14:textId="4E44CFCE" w:rsidR="00860EB6" w:rsidRDefault="00860EB6" w:rsidP="00860EB6">
      <w:pPr>
        <w:spacing w:after="0" w:line="240" w:lineRule="auto"/>
        <w:rPr>
          <w:color w:val="auto"/>
        </w:rPr>
      </w:pPr>
    </w:p>
    <w:p w14:paraId="4EA47F2A" w14:textId="77777777" w:rsidR="00F07EC0" w:rsidRPr="00F07EC0" w:rsidRDefault="00F07EC0" w:rsidP="00F07EC0">
      <w:pPr>
        <w:spacing w:after="0" w:line="240" w:lineRule="auto"/>
        <w:rPr>
          <w:b/>
          <w:color w:val="auto"/>
        </w:rPr>
      </w:pPr>
      <w:r w:rsidRPr="00F07EC0">
        <w:rPr>
          <w:b/>
          <w:color w:val="auto"/>
        </w:rPr>
        <w:t xml:space="preserve">University of Leicester </w:t>
      </w:r>
    </w:p>
    <w:p w14:paraId="17AF41BB" w14:textId="77777777" w:rsidR="00F07EC0" w:rsidRPr="00F07EC0" w:rsidRDefault="00F07EC0" w:rsidP="00F07EC0">
      <w:pPr>
        <w:spacing w:after="0" w:line="240" w:lineRule="auto"/>
        <w:rPr>
          <w:b/>
          <w:color w:val="auto"/>
        </w:rPr>
      </w:pPr>
      <w:r w:rsidRPr="00F07EC0">
        <w:rPr>
          <w:b/>
          <w:color w:val="auto"/>
        </w:rPr>
        <w:t xml:space="preserve">Future </w:t>
      </w:r>
      <w:proofErr w:type="gramStart"/>
      <w:r w:rsidRPr="00F07EC0">
        <w:rPr>
          <w:b/>
          <w:color w:val="auto"/>
        </w:rPr>
        <w:t>50  PhD</w:t>
      </w:r>
      <w:proofErr w:type="gramEnd"/>
      <w:r w:rsidRPr="00F07EC0">
        <w:rPr>
          <w:b/>
          <w:color w:val="auto"/>
        </w:rPr>
        <w:t xml:space="preserve"> Scholarship</w:t>
      </w:r>
    </w:p>
    <w:p w14:paraId="40E4DEDD" w14:textId="77777777" w:rsidR="00F07EC0" w:rsidRPr="00DD72DD" w:rsidRDefault="00F07EC0" w:rsidP="00860EB6">
      <w:pPr>
        <w:spacing w:after="0" w:line="240" w:lineRule="auto"/>
        <w:rPr>
          <w:color w:val="auto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DD72DD" w:rsidRPr="00DD72DD" w14:paraId="2B7C2EDD" w14:textId="77777777" w:rsidTr="00DC3455">
        <w:tc>
          <w:tcPr>
            <w:tcW w:w="3227" w:type="dxa"/>
            <w:shd w:val="clear" w:color="auto" w:fill="F2F2F2" w:themeFill="background1" w:themeFillShade="F2"/>
          </w:tcPr>
          <w:p w14:paraId="496D3E38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Project Reference</w:t>
            </w:r>
          </w:p>
        </w:tc>
        <w:tc>
          <w:tcPr>
            <w:tcW w:w="5807" w:type="dxa"/>
          </w:tcPr>
          <w:p w14:paraId="7EF8D7CF" w14:textId="20341C75" w:rsidR="00860EB6" w:rsidRPr="00DD72DD" w:rsidRDefault="00F07EC0" w:rsidP="00DC3455">
            <w:pPr>
              <w:rPr>
                <w:color w:val="auto"/>
              </w:rPr>
            </w:pPr>
            <w:r>
              <w:rPr>
                <w:color w:val="auto"/>
              </w:rPr>
              <w:t>RI DC Osman</w:t>
            </w:r>
          </w:p>
        </w:tc>
      </w:tr>
    </w:tbl>
    <w:p w14:paraId="561EA821" w14:textId="77777777" w:rsidR="00860EB6" w:rsidRPr="00DD72DD" w:rsidRDefault="00860EB6" w:rsidP="00860EB6">
      <w:pPr>
        <w:spacing w:after="0" w:line="240" w:lineRule="auto"/>
        <w:rPr>
          <w:color w:val="auto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DD72DD" w:rsidRPr="00DD72DD" w14:paraId="79569213" w14:textId="77777777" w:rsidTr="00DC3455">
        <w:tc>
          <w:tcPr>
            <w:tcW w:w="3227" w:type="dxa"/>
            <w:shd w:val="clear" w:color="auto" w:fill="F2F2F2" w:themeFill="background1" w:themeFillShade="F2"/>
          </w:tcPr>
          <w:p w14:paraId="7124DDA4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2E57CCBF" w14:textId="284C692F" w:rsidR="00860EB6" w:rsidRPr="00DD72DD" w:rsidRDefault="00446164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>Dr Idil Osman</w:t>
            </w:r>
          </w:p>
        </w:tc>
      </w:tr>
      <w:tr w:rsidR="00DD72DD" w:rsidRPr="00DD72DD" w14:paraId="05BC4D38" w14:textId="77777777" w:rsidTr="00DC3455">
        <w:tc>
          <w:tcPr>
            <w:tcW w:w="3227" w:type="dxa"/>
            <w:shd w:val="clear" w:color="auto" w:fill="F2F2F2" w:themeFill="background1" w:themeFillShade="F2"/>
          </w:tcPr>
          <w:p w14:paraId="092EE92D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67B42A01" w14:textId="4D58E28A" w:rsidR="00860EB6" w:rsidRPr="00DD72DD" w:rsidRDefault="00446164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>M</w:t>
            </w:r>
            <w:r w:rsidR="00F07EC0">
              <w:rPr>
                <w:color w:val="auto"/>
              </w:rPr>
              <w:t xml:space="preserve">edia, </w:t>
            </w:r>
            <w:r w:rsidRPr="00DD72DD">
              <w:rPr>
                <w:color w:val="auto"/>
              </w:rPr>
              <w:t>C</w:t>
            </w:r>
            <w:r w:rsidR="00F07EC0">
              <w:rPr>
                <w:color w:val="auto"/>
              </w:rPr>
              <w:t>ommunications and Sociology</w:t>
            </w:r>
          </w:p>
        </w:tc>
      </w:tr>
      <w:tr w:rsidR="00DD72DD" w:rsidRPr="00DD72DD" w14:paraId="3353DA8B" w14:textId="77777777" w:rsidTr="00DC3455">
        <w:tc>
          <w:tcPr>
            <w:tcW w:w="3227" w:type="dxa"/>
            <w:shd w:val="clear" w:color="auto" w:fill="F2F2F2" w:themeFill="background1" w:themeFillShade="F2"/>
          </w:tcPr>
          <w:p w14:paraId="23EB238E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 xml:space="preserve">Email </w:t>
            </w:r>
          </w:p>
        </w:tc>
        <w:tc>
          <w:tcPr>
            <w:tcW w:w="2693" w:type="dxa"/>
          </w:tcPr>
          <w:p w14:paraId="0EBFB9A2" w14:textId="5D088FDE" w:rsidR="00860EB6" w:rsidRPr="00DD72DD" w:rsidRDefault="00446164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>Io52@leicester.ac.uk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41346C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Telephone Ext</w:t>
            </w:r>
          </w:p>
        </w:tc>
        <w:tc>
          <w:tcPr>
            <w:tcW w:w="1271" w:type="dxa"/>
          </w:tcPr>
          <w:p w14:paraId="1C84F265" w14:textId="77777777" w:rsidR="00860EB6" w:rsidRPr="00DD72DD" w:rsidRDefault="00860EB6" w:rsidP="00DC3455">
            <w:pPr>
              <w:rPr>
                <w:color w:val="auto"/>
              </w:rPr>
            </w:pPr>
          </w:p>
        </w:tc>
      </w:tr>
    </w:tbl>
    <w:p w14:paraId="32F3D5C5" w14:textId="77777777" w:rsidR="00860EB6" w:rsidRPr="00DD72DD" w:rsidRDefault="00860EB6" w:rsidP="00860EB6">
      <w:pPr>
        <w:spacing w:after="0" w:line="240" w:lineRule="auto"/>
        <w:rPr>
          <w:color w:val="auto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DD72DD" w:rsidRPr="00DD72DD" w14:paraId="7A0DA0B0" w14:textId="77777777" w:rsidTr="00DC3455">
        <w:tc>
          <w:tcPr>
            <w:tcW w:w="3256" w:type="dxa"/>
            <w:shd w:val="clear" w:color="auto" w:fill="F2F2F2" w:themeFill="background1" w:themeFillShade="F2"/>
          </w:tcPr>
          <w:p w14:paraId="4F5CC726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3550DBD1" w14:textId="5D74F660" w:rsidR="00860EB6" w:rsidRPr="00DD72DD" w:rsidRDefault="00446164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 xml:space="preserve">Dr Maria </w:t>
            </w:r>
            <w:proofErr w:type="spellStart"/>
            <w:r w:rsidRPr="00DD72DD">
              <w:rPr>
                <w:color w:val="auto"/>
              </w:rPr>
              <w:t>Touri</w:t>
            </w:r>
            <w:proofErr w:type="spellEnd"/>
          </w:p>
        </w:tc>
      </w:tr>
      <w:tr w:rsidR="00F07EC0" w:rsidRPr="00DD72DD" w14:paraId="162FBAAF" w14:textId="77777777" w:rsidTr="00DC3455">
        <w:tc>
          <w:tcPr>
            <w:tcW w:w="3256" w:type="dxa"/>
            <w:shd w:val="clear" w:color="auto" w:fill="F2F2F2" w:themeFill="background1" w:themeFillShade="F2"/>
          </w:tcPr>
          <w:p w14:paraId="77DA6FE1" w14:textId="77777777" w:rsidR="00F07EC0" w:rsidRPr="00DD72DD" w:rsidRDefault="00F07EC0" w:rsidP="00F07EC0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1202F2F7" w14:textId="2A43FCE9" w:rsidR="00F07EC0" w:rsidRPr="00DD72DD" w:rsidRDefault="00F07EC0" w:rsidP="00F07EC0">
            <w:pPr>
              <w:rPr>
                <w:color w:val="auto"/>
              </w:rPr>
            </w:pPr>
            <w:r w:rsidRPr="00DD72DD">
              <w:rPr>
                <w:color w:val="auto"/>
              </w:rPr>
              <w:t>M</w:t>
            </w:r>
            <w:r>
              <w:rPr>
                <w:color w:val="auto"/>
              </w:rPr>
              <w:t xml:space="preserve">edia, </w:t>
            </w:r>
            <w:r w:rsidRPr="00DD72DD">
              <w:rPr>
                <w:color w:val="auto"/>
              </w:rPr>
              <w:t>C</w:t>
            </w:r>
            <w:r>
              <w:rPr>
                <w:color w:val="auto"/>
              </w:rPr>
              <w:t>ommunications and Sociology</w:t>
            </w:r>
          </w:p>
        </w:tc>
      </w:tr>
      <w:tr w:rsidR="00F07EC0" w:rsidRPr="00DD72DD" w14:paraId="10ADFB44" w14:textId="77777777" w:rsidTr="00DC3455">
        <w:tc>
          <w:tcPr>
            <w:tcW w:w="3256" w:type="dxa"/>
            <w:shd w:val="clear" w:color="auto" w:fill="F2F2F2" w:themeFill="background1" w:themeFillShade="F2"/>
          </w:tcPr>
          <w:p w14:paraId="401993F5" w14:textId="77777777" w:rsidR="00F07EC0" w:rsidRPr="00DD72DD" w:rsidRDefault="00F07EC0" w:rsidP="00F07EC0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 xml:space="preserve">Email </w:t>
            </w:r>
          </w:p>
        </w:tc>
        <w:tc>
          <w:tcPr>
            <w:tcW w:w="2664" w:type="dxa"/>
          </w:tcPr>
          <w:p w14:paraId="304DE350" w14:textId="25DD6CED" w:rsidR="00F07EC0" w:rsidRPr="00DD72DD" w:rsidRDefault="00F07EC0" w:rsidP="00F07EC0">
            <w:pPr>
              <w:rPr>
                <w:color w:val="auto"/>
              </w:rPr>
            </w:pPr>
            <w:r w:rsidRPr="00DD72DD">
              <w:rPr>
                <w:color w:val="auto"/>
              </w:rPr>
              <w:t>Mt141@leicester.ac.uk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164E94" w14:textId="77777777" w:rsidR="00F07EC0" w:rsidRPr="00DD72DD" w:rsidRDefault="00F07EC0" w:rsidP="00F07EC0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Telephone Ext</w:t>
            </w:r>
          </w:p>
        </w:tc>
        <w:tc>
          <w:tcPr>
            <w:tcW w:w="1271" w:type="dxa"/>
          </w:tcPr>
          <w:p w14:paraId="6DD1476C" w14:textId="77777777" w:rsidR="00F07EC0" w:rsidRPr="00DD72DD" w:rsidRDefault="00F07EC0" w:rsidP="00F07EC0">
            <w:pPr>
              <w:rPr>
                <w:color w:val="auto"/>
              </w:rPr>
            </w:pPr>
          </w:p>
        </w:tc>
      </w:tr>
    </w:tbl>
    <w:p w14:paraId="7D8D0B15" w14:textId="77777777" w:rsidR="00860EB6" w:rsidRPr="00DD72DD" w:rsidRDefault="00860EB6" w:rsidP="00860EB6">
      <w:pPr>
        <w:spacing w:after="0" w:line="240" w:lineRule="auto"/>
        <w:rPr>
          <w:color w:val="auto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DD72DD" w:rsidRPr="00DD72DD" w14:paraId="13A87558" w14:textId="77777777" w:rsidTr="00DC3455">
        <w:tc>
          <w:tcPr>
            <w:tcW w:w="3256" w:type="dxa"/>
            <w:shd w:val="clear" w:color="auto" w:fill="F2F2F2" w:themeFill="background1" w:themeFillShade="F2"/>
          </w:tcPr>
          <w:p w14:paraId="26EF2B5A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Additional Supervisor</w:t>
            </w:r>
          </w:p>
        </w:tc>
        <w:tc>
          <w:tcPr>
            <w:tcW w:w="5778" w:type="dxa"/>
          </w:tcPr>
          <w:p w14:paraId="405EE5F3" w14:textId="7E6EA2C6" w:rsidR="00860EB6" w:rsidRPr="00DD72DD" w:rsidRDefault="00446164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 xml:space="preserve">Professor </w:t>
            </w:r>
            <w:r w:rsidR="00993F8D" w:rsidRPr="00DD72DD">
              <w:rPr>
                <w:color w:val="auto"/>
              </w:rPr>
              <w:t>Ross Parry</w:t>
            </w:r>
          </w:p>
        </w:tc>
      </w:tr>
    </w:tbl>
    <w:p w14:paraId="40AA712F" w14:textId="77777777" w:rsidR="00860EB6" w:rsidRPr="00DD72DD" w:rsidRDefault="00860EB6" w:rsidP="00860EB6">
      <w:pPr>
        <w:spacing w:after="0" w:line="240" w:lineRule="auto"/>
        <w:rPr>
          <w:b/>
          <w:color w:val="auto"/>
          <w:u w:val="single"/>
        </w:rPr>
      </w:pPr>
    </w:p>
    <w:p w14:paraId="65C4E519" w14:textId="77777777" w:rsidR="00860EB6" w:rsidRPr="00DD72DD" w:rsidRDefault="00860EB6" w:rsidP="00860EB6">
      <w:pPr>
        <w:spacing w:after="0" w:line="240" w:lineRule="auto"/>
        <w:rPr>
          <w:b/>
          <w:i/>
          <w:color w:val="auto"/>
        </w:rPr>
      </w:pPr>
      <w:r w:rsidRPr="00DD72DD">
        <w:rPr>
          <w:b/>
          <w:color w:val="auto"/>
        </w:rPr>
        <w:t xml:space="preserve">Section 2 – </w:t>
      </w:r>
      <w:r w:rsidRPr="00DD72DD">
        <w:rPr>
          <w:b/>
          <w:i/>
          <w:color w:val="auto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DD72DD" w:rsidRPr="00DD72DD" w14:paraId="284318A4" w14:textId="77777777" w:rsidTr="00DC3455">
        <w:tc>
          <w:tcPr>
            <w:tcW w:w="1980" w:type="dxa"/>
            <w:shd w:val="clear" w:color="auto" w:fill="F2F2F2" w:themeFill="background1" w:themeFillShade="F2"/>
          </w:tcPr>
          <w:p w14:paraId="4D95E5CB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Project Title</w:t>
            </w:r>
          </w:p>
          <w:p w14:paraId="0A9D844D" w14:textId="77777777" w:rsidR="00860EB6" w:rsidRPr="00DD72DD" w:rsidRDefault="00860EB6" w:rsidP="00DC3455">
            <w:pPr>
              <w:rPr>
                <w:b/>
                <w:color w:val="auto"/>
              </w:rPr>
            </w:pPr>
          </w:p>
        </w:tc>
        <w:tc>
          <w:tcPr>
            <w:tcW w:w="7036" w:type="dxa"/>
            <w:gridSpan w:val="2"/>
          </w:tcPr>
          <w:p w14:paraId="7354481A" w14:textId="77777777" w:rsidR="00860EB6" w:rsidRPr="0039434C" w:rsidRDefault="005C3AB5" w:rsidP="00DC3455">
            <w:pPr>
              <w:rPr>
                <w:bCs/>
                <w:i/>
                <w:color w:val="auto"/>
              </w:rPr>
            </w:pPr>
            <w:r w:rsidRPr="0039434C">
              <w:rPr>
                <w:bCs/>
                <w:i/>
                <w:color w:val="auto"/>
              </w:rPr>
              <w:t xml:space="preserve">Cultural </w:t>
            </w:r>
            <w:r w:rsidR="00446164" w:rsidRPr="0039434C">
              <w:rPr>
                <w:bCs/>
                <w:i/>
                <w:color w:val="auto"/>
              </w:rPr>
              <w:t>Development, African Diaspora Youth and Digital Technologies</w:t>
            </w:r>
          </w:p>
          <w:p w14:paraId="57E9327F" w14:textId="7ACBCF64" w:rsidR="0039434C" w:rsidRPr="00DD72DD" w:rsidRDefault="0039434C" w:rsidP="00DC3455">
            <w:pPr>
              <w:rPr>
                <w:b/>
                <w:bCs/>
                <w:color w:val="auto"/>
              </w:rPr>
            </w:pPr>
          </w:p>
        </w:tc>
      </w:tr>
      <w:tr w:rsidR="00DD72DD" w:rsidRPr="00DD72DD" w14:paraId="4550D929" w14:textId="77777777" w:rsidTr="00DC3455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11511A3" w14:textId="77777777" w:rsidR="00860EB6" w:rsidRPr="00DD72DD" w:rsidRDefault="00860EB6" w:rsidP="00DC3455">
            <w:pPr>
              <w:rPr>
                <w:b/>
                <w:color w:val="auto"/>
              </w:rPr>
            </w:pPr>
            <w:r w:rsidRPr="00DD72DD">
              <w:rPr>
                <w:b/>
                <w:color w:val="auto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0526DB0" w14:textId="77777777" w:rsidR="00860EB6" w:rsidRPr="00DD72DD" w:rsidRDefault="00860EB6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>1.</w:t>
            </w:r>
          </w:p>
        </w:tc>
        <w:tc>
          <w:tcPr>
            <w:tcW w:w="6611" w:type="dxa"/>
          </w:tcPr>
          <w:p w14:paraId="06CAC27C" w14:textId="7D250EB7" w:rsidR="00690C5D" w:rsidRDefault="00690C5D" w:rsidP="00DC3455">
            <w:pPr>
              <w:rPr>
                <w:color w:val="auto"/>
              </w:rPr>
            </w:pPr>
            <w:r w:rsidRPr="00690C5D">
              <w:rPr>
                <w:b/>
                <w:color w:val="auto"/>
              </w:rPr>
              <w:t>A transdisciplinary approach</w:t>
            </w:r>
            <w:r w:rsidRPr="00690C5D">
              <w:rPr>
                <w:color w:val="auto"/>
              </w:rPr>
              <w:t xml:space="preserve"> – working across </w:t>
            </w:r>
            <w:r w:rsidR="003F5164">
              <w:rPr>
                <w:color w:val="auto"/>
              </w:rPr>
              <w:t>development studies</w:t>
            </w:r>
            <w:r w:rsidRPr="00690C5D">
              <w:rPr>
                <w:color w:val="auto"/>
              </w:rPr>
              <w:t>,</w:t>
            </w:r>
            <w:r w:rsidR="003F5164">
              <w:rPr>
                <w:color w:val="auto"/>
              </w:rPr>
              <w:t xml:space="preserve"> sociology and media studies.</w:t>
            </w:r>
          </w:p>
          <w:p w14:paraId="4546B9C0" w14:textId="55B1139C" w:rsidR="00860EB6" w:rsidRPr="00DD72DD" w:rsidRDefault="00860EB6" w:rsidP="00DC3455">
            <w:pPr>
              <w:rPr>
                <w:color w:val="auto"/>
              </w:rPr>
            </w:pPr>
          </w:p>
        </w:tc>
      </w:tr>
      <w:tr w:rsidR="00DD72DD" w:rsidRPr="00DD72DD" w14:paraId="578DF07C" w14:textId="77777777" w:rsidTr="00DC3455">
        <w:tc>
          <w:tcPr>
            <w:tcW w:w="1980" w:type="dxa"/>
            <w:vMerge/>
            <w:shd w:val="clear" w:color="auto" w:fill="F2F2F2" w:themeFill="background1" w:themeFillShade="F2"/>
          </w:tcPr>
          <w:p w14:paraId="49A7CEA3" w14:textId="77777777" w:rsidR="00860EB6" w:rsidRPr="00DD72DD" w:rsidRDefault="00860EB6" w:rsidP="00DC3455">
            <w:pPr>
              <w:rPr>
                <w:b/>
                <w:color w:val="aut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5AF2DC3" w14:textId="77777777" w:rsidR="00860EB6" w:rsidRPr="00DD72DD" w:rsidRDefault="00860EB6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>2.</w:t>
            </w:r>
          </w:p>
        </w:tc>
        <w:tc>
          <w:tcPr>
            <w:tcW w:w="6611" w:type="dxa"/>
          </w:tcPr>
          <w:p w14:paraId="616BDFE4" w14:textId="35961DC3" w:rsidR="00690C5D" w:rsidRDefault="00690C5D" w:rsidP="00DC3455">
            <w:pPr>
              <w:rPr>
                <w:color w:val="auto"/>
              </w:rPr>
            </w:pPr>
            <w:r w:rsidRPr="00690C5D">
              <w:rPr>
                <w:b/>
                <w:color w:val="auto"/>
              </w:rPr>
              <w:t>Driven by action research</w:t>
            </w:r>
            <w:r w:rsidRPr="00690C5D">
              <w:rPr>
                <w:color w:val="auto"/>
              </w:rPr>
              <w:t xml:space="preserve"> – </w:t>
            </w:r>
            <w:r w:rsidR="003F5164">
              <w:rPr>
                <w:color w:val="auto"/>
              </w:rPr>
              <w:t>e</w:t>
            </w:r>
            <w:r w:rsidR="003F5164" w:rsidRPr="003F5164">
              <w:rPr>
                <w:color w:val="auto"/>
              </w:rPr>
              <w:t>xploring alternative and more sustainable routes to development in Africa</w:t>
            </w:r>
          </w:p>
          <w:p w14:paraId="6C7B76EA" w14:textId="727B652C" w:rsidR="00860EB6" w:rsidRPr="00DD72DD" w:rsidRDefault="00860EB6" w:rsidP="00DC3455">
            <w:pPr>
              <w:rPr>
                <w:color w:val="auto"/>
              </w:rPr>
            </w:pPr>
          </w:p>
        </w:tc>
      </w:tr>
      <w:tr w:rsidR="00DD72DD" w:rsidRPr="00DD72DD" w14:paraId="38E760CC" w14:textId="77777777" w:rsidTr="00DC3455">
        <w:tc>
          <w:tcPr>
            <w:tcW w:w="1980" w:type="dxa"/>
            <w:vMerge/>
            <w:shd w:val="clear" w:color="auto" w:fill="F2F2F2" w:themeFill="background1" w:themeFillShade="F2"/>
          </w:tcPr>
          <w:p w14:paraId="7B4F9A16" w14:textId="77777777" w:rsidR="00860EB6" w:rsidRPr="00DD72DD" w:rsidRDefault="00860EB6" w:rsidP="00DC3455">
            <w:pPr>
              <w:rPr>
                <w:b/>
                <w:color w:val="aut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7D7446A" w14:textId="77777777" w:rsidR="00860EB6" w:rsidRPr="00DD72DD" w:rsidRDefault="00860EB6" w:rsidP="00DC3455">
            <w:pPr>
              <w:rPr>
                <w:color w:val="auto"/>
              </w:rPr>
            </w:pPr>
            <w:r w:rsidRPr="00DD72DD">
              <w:rPr>
                <w:color w:val="auto"/>
              </w:rPr>
              <w:t>3.</w:t>
            </w:r>
          </w:p>
        </w:tc>
        <w:tc>
          <w:tcPr>
            <w:tcW w:w="6611" w:type="dxa"/>
          </w:tcPr>
          <w:p w14:paraId="715923A7" w14:textId="5EB409B5" w:rsidR="00690C5D" w:rsidRDefault="00690C5D" w:rsidP="00DC3455">
            <w:pPr>
              <w:rPr>
                <w:color w:val="auto"/>
              </w:rPr>
            </w:pPr>
            <w:r w:rsidRPr="00690C5D">
              <w:rPr>
                <w:b/>
                <w:color w:val="auto"/>
              </w:rPr>
              <w:t>Embedded within a new Research Institute</w:t>
            </w:r>
            <w:r w:rsidRPr="00690C5D">
              <w:rPr>
                <w:color w:val="auto"/>
              </w:rPr>
              <w:t xml:space="preserve"> – benefiting from the support and inspiration of an emerging community of scholars helping </w:t>
            </w:r>
            <w:r w:rsidR="003F5164">
              <w:rPr>
                <w:color w:val="auto"/>
              </w:rPr>
              <w:t xml:space="preserve">cultural organisations </w:t>
            </w:r>
            <w:r w:rsidRPr="00690C5D">
              <w:rPr>
                <w:color w:val="auto"/>
              </w:rPr>
              <w:t>to adapt to a digital age.</w:t>
            </w:r>
          </w:p>
          <w:p w14:paraId="58686B40" w14:textId="46F98075" w:rsidR="00860EB6" w:rsidRPr="00DD72DD" w:rsidRDefault="00860EB6" w:rsidP="00DC3455">
            <w:pPr>
              <w:rPr>
                <w:color w:val="auto"/>
              </w:rPr>
            </w:pPr>
          </w:p>
        </w:tc>
      </w:tr>
      <w:tr w:rsidR="00DD72DD" w:rsidRPr="00DD72DD" w14:paraId="0D12A78E" w14:textId="77777777" w:rsidTr="00DC3455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F795731" w14:textId="77777777" w:rsidR="00860EB6" w:rsidRPr="00DD72DD" w:rsidRDefault="00860EB6" w:rsidP="00DC3455">
            <w:pPr>
              <w:rPr>
                <w:color w:val="auto"/>
              </w:rPr>
            </w:pPr>
            <w:r w:rsidRPr="00DD72DD">
              <w:rPr>
                <w:b/>
                <w:color w:val="auto"/>
              </w:rPr>
              <w:t xml:space="preserve">Project Summary </w:t>
            </w:r>
          </w:p>
        </w:tc>
      </w:tr>
      <w:tr w:rsidR="00860EB6" w:rsidRPr="00DD72DD" w14:paraId="68EB81A3" w14:textId="77777777" w:rsidTr="00DC3455">
        <w:tc>
          <w:tcPr>
            <w:tcW w:w="9016" w:type="dxa"/>
            <w:gridSpan w:val="3"/>
          </w:tcPr>
          <w:p w14:paraId="1B922557" w14:textId="77777777" w:rsidR="00690C5D" w:rsidRDefault="00690C5D" w:rsidP="00DD72DD">
            <w:pPr>
              <w:rPr>
                <w:color w:val="auto"/>
                <w:shd w:val="clear" w:color="auto" w:fill="FFFFFF"/>
              </w:rPr>
            </w:pPr>
          </w:p>
          <w:p w14:paraId="7D80E9E9" w14:textId="7958A627" w:rsidR="00690C5D" w:rsidRDefault="00690C5D" w:rsidP="00DD72DD"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‘</w:t>
            </w:r>
            <w:r w:rsidR="00333243">
              <w:rPr>
                <w:color w:val="auto"/>
                <w:shd w:val="clear" w:color="auto" w:fill="FFFFFF"/>
              </w:rPr>
              <w:t>C</w:t>
            </w:r>
            <w:r w:rsidR="00DD72DD" w:rsidRPr="00DD72DD">
              <w:rPr>
                <w:color w:val="auto"/>
                <w:shd w:val="clear" w:color="auto" w:fill="FFFFFF"/>
              </w:rPr>
              <w:t>ulture</w:t>
            </w:r>
            <w:r>
              <w:rPr>
                <w:color w:val="auto"/>
                <w:shd w:val="clear" w:color="auto" w:fill="FFFFFF"/>
              </w:rPr>
              <w:t>’</w:t>
            </w:r>
            <w:r w:rsidR="00DD72DD" w:rsidRPr="00DD72DD">
              <w:rPr>
                <w:color w:val="auto"/>
                <w:shd w:val="clear" w:color="auto" w:fill="FFFFFF"/>
              </w:rPr>
              <w:t xml:space="preserve"> h</w:t>
            </w:r>
            <w:r>
              <w:rPr>
                <w:color w:val="auto"/>
                <w:shd w:val="clear" w:color="auto" w:fill="FFFFFF"/>
              </w:rPr>
              <w:t>as become a central element to both D</w:t>
            </w:r>
            <w:r w:rsidR="00DD72DD" w:rsidRPr="00DD72DD">
              <w:rPr>
                <w:color w:val="auto"/>
                <w:shd w:val="clear" w:color="auto" w:fill="FFFFFF"/>
              </w:rPr>
              <w:t>evelopment</w:t>
            </w:r>
            <w:r>
              <w:rPr>
                <w:color w:val="auto"/>
                <w:shd w:val="clear" w:color="auto" w:fill="FFFFFF"/>
              </w:rPr>
              <w:t xml:space="preserve"> practice and Development Studies – </w:t>
            </w:r>
            <w:r w:rsidR="00DD72DD" w:rsidRPr="00DD72DD">
              <w:rPr>
                <w:color w:val="auto"/>
                <w:shd w:val="clear" w:color="auto" w:fill="FFFFFF"/>
              </w:rPr>
              <w:t xml:space="preserve">understood as a source of profound social and economic transformation through </w:t>
            </w:r>
            <w:r>
              <w:rPr>
                <w:color w:val="auto"/>
                <w:shd w:val="clear" w:color="auto" w:fill="FFFFFF"/>
              </w:rPr>
              <w:t xml:space="preserve">its </w:t>
            </w:r>
            <w:r w:rsidR="00DD72DD" w:rsidRPr="00DD72DD">
              <w:rPr>
                <w:color w:val="auto"/>
                <w:shd w:val="clear" w:color="auto" w:fill="FFFFFF"/>
              </w:rPr>
              <w:t xml:space="preserve">influence on aspiration and collective action. </w:t>
            </w:r>
            <w:r>
              <w:rPr>
                <w:color w:val="auto"/>
                <w:shd w:val="clear" w:color="auto" w:fill="FFFFFF"/>
              </w:rPr>
              <w:t>D</w:t>
            </w:r>
            <w:r w:rsidR="00DD72DD" w:rsidRPr="00DD72DD">
              <w:rPr>
                <w:color w:val="auto"/>
                <w:shd w:val="clear" w:color="auto" w:fill="FFFFFF"/>
              </w:rPr>
              <w:t>evelopment initiatives must resonate with people’s everyday cultural lives</w:t>
            </w:r>
            <w:r>
              <w:rPr>
                <w:color w:val="auto"/>
                <w:shd w:val="clear" w:color="auto" w:fill="FFFFFF"/>
              </w:rPr>
              <w:t>,</w:t>
            </w:r>
            <w:r w:rsidR="00DD72DD" w:rsidRPr="00DD72DD">
              <w:rPr>
                <w:color w:val="auto"/>
                <w:shd w:val="clear" w:color="auto" w:fill="FFFFFF"/>
              </w:rPr>
              <w:t xml:space="preserve"> adopt</w:t>
            </w:r>
            <w:r>
              <w:rPr>
                <w:color w:val="auto"/>
                <w:shd w:val="clear" w:color="auto" w:fill="FFFFFF"/>
              </w:rPr>
              <w:t>ing</w:t>
            </w:r>
            <w:r w:rsidR="00DD72DD" w:rsidRPr="00DD72DD">
              <w:rPr>
                <w:color w:val="auto"/>
                <w:shd w:val="clear" w:color="auto" w:fill="FFFFFF"/>
              </w:rPr>
              <w:t xml:space="preserve"> what Amartya Sen highlights as </w:t>
            </w:r>
            <w:r>
              <w:rPr>
                <w:color w:val="auto"/>
                <w:shd w:val="clear" w:color="auto" w:fill="FFFFFF"/>
              </w:rPr>
              <w:t>an approach that encompasses</w:t>
            </w:r>
            <w:r w:rsidR="00DD72DD" w:rsidRPr="00DD72DD">
              <w:rPr>
                <w:color w:val="auto"/>
                <w:shd w:val="clear" w:color="auto" w:fill="FFFFFF"/>
              </w:rPr>
              <w:t xml:space="preserve"> the freedom and capabilities to pursue a life of dignity.</w:t>
            </w:r>
            <w:r w:rsidR="00DD72DD">
              <w:rPr>
                <w:color w:val="auto"/>
                <w:shd w:val="clear" w:color="auto" w:fill="FFFFFF"/>
              </w:rPr>
              <w:t xml:space="preserve"> </w:t>
            </w:r>
          </w:p>
          <w:p w14:paraId="26BB1BED" w14:textId="77777777" w:rsidR="00690C5D" w:rsidRDefault="00690C5D" w:rsidP="00DD72DD">
            <w:pPr>
              <w:rPr>
                <w:color w:val="auto"/>
                <w:shd w:val="clear" w:color="auto" w:fill="FFFFFF"/>
              </w:rPr>
            </w:pPr>
          </w:p>
          <w:p w14:paraId="12DC3B8D" w14:textId="7E0EF54F" w:rsidR="00DD72DD" w:rsidRPr="007C7E48" w:rsidRDefault="00690C5D" w:rsidP="00DD72DD"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And yet, s</w:t>
            </w:r>
            <w:r w:rsidR="00DD72DD" w:rsidRPr="00DD72DD">
              <w:rPr>
                <w:color w:val="auto"/>
                <w:shd w:val="clear" w:color="auto" w:fill="FFFFFF"/>
              </w:rPr>
              <w:t>cholarship in this area has taught us that there is no single development model that is globally applicable</w:t>
            </w:r>
            <w:r>
              <w:rPr>
                <w:color w:val="auto"/>
                <w:shd w:val="clear" w:color="auto" w:fill="FFFFFF"/>
              </w:rPr>
              <w:t xml:space="preserve">, and moreover that </w:t>
            </w:r>
            <w:r w:rsidR="00DD72DD" w:rsidRPr="00DD72DD">
              <w:rPr>
                <w:color w:val="auto"/>
                <w:shd w:val="clear" w:color="auto" w:fill="FFFFFF"/>
              </w:rPr>
              <w:t>the desire to impose Western model</w:t>
            </w:r>
            <w:r>
              <w:rPr>
                <w:color w:val="auto"/>
                <w:shd w:val="clear" w:color="auto" w:fill="FFFFFF"/>
              </w:rPr>
              <w:t>s</w:t>
            </w:r>
            <w:r w:rsidR="00DD72DD" w:rsidRPr="00DD72DD">
              <w:rPr>
                <w:color w:val="auto"/>
                <w:shd w:val="clear" w:color="auto" w:fill="FFFFFF"/>
              </w:rPr>
              <w:t xml:space="preserve"> has resulted in cultural homogenisation (Radcliffe 2006).</w:t>
            </w:r>
            <w:r w:rsidR="007C7E48">
              <w:rPr>
                <w:color w:val="auto"/>
                <w:shd w:val="clear" w:color="auto" w:fill="FFFFFF"/>
              </w:rPr>
              <w:t xml:space="preserve"> </w:t>
            </w:r>
            <w:r w:rsidR="00333243">
              <w:rPr>
                <w:color w:val="auto"/>
                <w:shd w:val="clear" w:color="auto" w:fill="FFFFFF"/>
              </w:rPr>
              <w:t>D</w:t>
            </w:r>
            <w:r w:rsidR="00DD72DD">
              <w:rPr>
                <w:color w:val="auto"/>
                <w:shd w:val="clear" w:color="auto" w:fill="FFFFFF"/>
              </w:rPr>
              <w:t>iaspora communities</w:t>
            </w:r>
            <w:r w:rsidR="00333243">
              <w:rPr>
                <w:color w:val="auto"/>
                <w:shd w:val="clear" w:color="auto" w:fill="FFFFFF"/>
              </w:rPr>
              <w:t>, for instance,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="00333243">
              <w:rPr>
                <w:color w:val="auto"/>
                <w:shd w:val="clear" w:color="auto" w:fill="FFFFFF"/>
              </w:rPr>
              <w:t xml:space="preserve">can instead </w:t>
            </w:r>
            <w:r w:rsidR="00DD72DD">
              <w:rPr>
                <w:color w:val="auto"/>
                <w:shd w:val="clear" w:color="auto" w:fill="FFFFFF"/>
              </w:rPr>
              <w:t xml:space="preserve">take a development approach embedded in the cultural context where development initiatives are being </w:t>
            </w:r>
            <w:r w:rsidR="005C3AB5">
              <w:rPr>
                <w:color w:val="auto"/>
                <w:shd w:val="clear" w:color="auto" w:fill="FFFFFF"/>
              </w:rPr>
              <w:t>implemented</w:t>
            </w:r>
            <w:r w:rsidR="00DD72DD">
              <w:rPr>
                <w:color w:val="auto"/>
                <w:shd w:val="clear" w:color="auto" w:fill="FFFFFF"/>
              </w:rPr>
              <w:t xml:space="preserve">. </w:t>
            </w:r>
            <w:r w:rsidR="007C7E48">
              <w:rPr>
                <w:color w:val="auto"/>
              </w:rPr>
              <w:t xml:space="preserve">These communities </w:t>
            </w:r>
            <w:r w:rsidR="00333243">
              <w:rPr>
                <w:color w:val="auto"/>
              </w:rPr>
              <w:t xml:space="preserve">can be </w:t>
            </w:r>
            <w:r w:rsidR="00DD72DD" w:rsidRPr="00DD72DD">
              <w:rPr>
                <w:color w:val="auto"/>
              </w:rPr>
              <w:t>considered a potent force for development for their countries of origin</w:t>
            </w:r>
            <w:r w:rsidR="007C7E48">
              <w:rPr>
                <w:color w:val="auto"/>
              </w:rPr>
              <w:t>,</w:t>
            </w:r>
            <w:r w:rsidR="00DA5C6A">
              <w:rPr>
                <w:color w:val="auto"/>
              </w:rPr>
              <w:t xml:space="preserve"> and in </w:t>
            </w:r>
            <w:r w:rsidR="00DD72DD" w:rsidRPr="00DD72DD">
              <w:rPr>
                <w:color w:val="auto"/>
              </w:rPr>
              <w:t xml:space="preserve">their host countries they </w:t>
            </w:r>
            <w:r w:rsidR="00333243">
              <w:rPr>
                <w:color w:val="auto"/>
              </w:rPr>
              <w:t xml:space="preserve">can be seen as </w:t>
            </w:r>
            <w:r w:rsidR="00DD72DD" w:rsidRPr="00DD72DD">
              <w:rPr>
                <w:color w:val="auto"/>
              </w:rPr>
              <w:t>bridge-builders that understand western development priorities and homeland development needs</w:t>
            </w:r>
            <w:r w:rsidR="00333243">
              <w:rPr>
                <w:color w:val="auto"/>
              </w:rPr>
              <w:t>,</w:t>
            </w:r>
            <w:r w:rsidR="00DD72DD" w:rsidRPr="00DD72DD">
              <w:rPr>
                <w:color w:val="auto"/>
              </w:rPr>
              <w:t xml:space="preserve"> with the credibility of being accepted as social actors</w:t>
            </w:r>
            <w:r w:rsidR="00333243">
              <w:rPr>
                <w:color w:val="auto"/>
              </w:rPr>
              <w:t xml:space="preserve"> in both settings.</w:t>
            </w:r>
          </w:p>
          <w:p w14:paraId="5CC80F87" w14:textId="77777777" w:rsidR="00690C5D" w:rsidRPr="00DD72DD" w:rsidRDefault="00690C5D" w:rsidP="00DD72DD">
            <w:pPr>
              <w:rPr>
                <w:color w:val="auto"/>
                <w:shd w:val="clear" w:color="auto" w:fill="FFFFFF"/>
              </w:rPr>
            </w:pPr>
          </w:p>
          <w:p w14:paraId="664388A1" w14:textId="328DD318" w:rsidR="00DD72DD" w:rsidRPr="00DD72DD" w:rsidRDefault="007C7E48" w:rsidP="00CD546B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DD72DD" w:rsidRPr="00DD72DD">
              <w:rPr>
                <w:color w:val="auto"/>
              </w:rPr>
              <w:t xml:space="preserve">cholars have begun to </w:t>
            </w:r>
            <w:r>
              <w:rPr>
                <w:color w:val="auto"/>
              </w:rPr>
              <w:t xml:space="preserve">scrutinise </w:t>
            </w:r>
            <w:r w:rsidR="00DD72DD" w:rsidRPr="00DD72DD">
              <w:rPr>
                <w:color w:val="auto"/>
              </w:rPr>
              <w:t xml:space="preserve">understanding </w:t>
            </w:r>
            <w:r>
              <w:rPr>
                <w:color w:val="auto"/>
              </w:rPr>
              <w:t xml:space="preserve">of </w:t>
            </w:r>
            <w:r w:rsidR="00DD72DD" w:rsidRPr="00DD72DD">
              <w:rPr>
                <w:color w:val="auto"/>
              </w:rPr>
              <w:t xml:space="preserve">lived experiences of </w:t>
            </w:r>
            <w:r>
              <w:rPr>
                <w:color w:val="auto"/>
              </w:rPr>
              <w:t xml:space="preserve">those </w:t>
            </w:r>
            <w:r w:rsidR="00DD72DD" w:rsidRPr="00DD72DD">
              <w:rPr>
                <w:color w:val="auto"/>
              </w:rPr>
              <w:t xml:space="preserve">diasporas </w:t>
            </w:r>
            <w:r>
              <w:rPr>
                <w:color w:val="auto"/>
              </w:rPr>
              <w:t>who feed</w:t>
            </w:r>
            <w:r w:rsidR="00DD72DD" w:rsidRPr="00DD72DD">
              <w:rPr>
                <w:color w:val="auto"/>
              </w:rPr>
              <w:t xml:space="preserve"> into </w:t>
            </w:r>
            <w:r>
              <w:rPr>
                <w:color w:val="auto"/>
              </w:rPr>
              <w:t xml:space="preserve">these </w:t>
            </w:r>
            <w:r w:rsidR="00DD72DD" w:rsidRPr="00DD72DD">
              <w:rPr>
                <w:color w:val="auto"/>
              </w:rPr>
              <w:t xml:space="preserve">transnational activities (Osman 2017; </w:t>
            </w:r>
            <w:proofErr w:type="spellStart"/>
            <w:r w:rsidR="00DD72DD" w:rsidRPr="00DD72DD">
              <w:rPr>
                <w:color w:val="auto"/>
              </w:rPr>
              <w:t>Akesson</w:t>
            </w:r>
            <w:proofErr w:type="spellEnd"/>
            <w:r w:rsidR="00DD72DD" w:rsidRPr="00DD72DD">
              <w:rPr>
                <w:color w:val="auto"/>
              </w:rPr>
              <w:t xml:space="preserve"> et al 2015; Hammond 2012). This is especially problematic for conflict-generated diasporas (Lyons 2012) who carry the trauma of conflict and can exacerbate tensions and conflict dynamics with their development initiatives and interventions</w:t>
            </w:r>
            <w:r>
              <w:rPr>
                <w:color w:val="auto"/>
              </w:rPr>
              <w:t>.</w:t>
            </w:r>
          </w:p>
          <w:p w14:paraId="76A6C3B4" w14:textId="4903DB20" w:rsidR="00FA2CDD" w:rsidRDefault="00FA2CDD" w:rsidP="00DD72DD">
            <w:pPr>
              <w:tabs>
                <w:tab w:val="left" w:pos="7215"/>
              </w:tabs>
              <w:rPr>
                <w:color w:val="auto"/>
              </w:rPr>
            </w:pPr>
          </w:p>
          <w:p w14:paraId="159C8823" w14:textId="584CEA38" w:rsidR="007C7E48" w:rsidRDefault="00DD72DD" w:rsidP="00DD72DD">
            <w:pPr>
              <w:tabs>
                <w:tab w:val="left" w:pos="7215"/>
              </w:tabs>
              <w:rPr>
                <w:color w:val="auto"/>
              </w:rPr>
            </w:pPr>
            <w:r w:rsidRPr="00DD72DD">
              <w:rPr>
                <w:color w:val="auto"/>
              </w:rPr>
              <w:lastRenderedPageBreak/>
              <w:t xml:space="preserve">This </w:t>
            </w:r>
            <w:r w:rsidR="00690C5D">
              <w:rPr>
                <w:color w:val="auto"/>
              </w:rPr>
              <w:t xml:space="preserve">doctoral </w:t>
            </w:r>
            <w:r w:rsidRPr="00DD72DD">
              <w:rPr>
                <w:color w:val="auto"/>
              </w:rPr>
              <w:t xml:space="preserve">project </w:t>
            </w:r>
            <w:r w:rsidR="00690C5D">
              <w:rPr>
                <w:color w:val="auto"/>
              </w:rPr>
              <w:t>will seek</w:t>
            </w:r>
            <w:r w:rsidRPr="00DD72DD">
              <w:rPr>
                <w:color w:val="auto"/>
              </w:rPr>
              <w:t xml:space="preserve"> to examine how African diaspora youth are reimagining development in the </w:t>
            </w:r>
            <w:r w:rsidR="007C7E48">
              <w:rPr>
                <w:color w:val="auto"/>
              </w:rPr>
              <w:t>context of culture and heritage</w:t>
            </w:r>
            <w:r w:rsidRPr="00DD72DD">
              <w:rPr>
                <w:color w:val="auto"/>
              </w:rPr>
              <w:t>.</w:t>
            </w:r>
            <w:r w:rsidR="005C3AB5">
              <w:rPr>
                <w:color w:val="auto"/>
              </w:rPr>
              <w:t xml:space="preserve"> </w:t>
            </w:r>
            <w:r w:rsidR="00333243">
              <w:rPr>
                <w:color w:val="auto"/>
              </w:rPr>
              <w:t xml:space="preserve">And, within the context of the university’s new Institute for Digital Culture, </w:t>
            </w:r>
            <w:r w:rsidR="00333243">
              <w:rPr>
                <w:color w:val="auto"/>
                <w:shd w:val="clear" w:color="auto" w:fill="FFFFFF"/>
              </w:rPr>
              <w:t>i</w:t>
            </w:r>
            <w:r w:rsidR="007C7E48">
              <w:rPr>
                <w:color w:val="auto"/>
                <w:shd w:val="clear" w:color="auto" w:fill="FFFFFF"/>
              </w:rPr>
              <w:t xml:space="preserve">t will ask </w:t>
            </w:r>
            <w:r w:rsidR="00A30A6D">
              <w:rPr>
                <w:color w:val="auto"/>
                <w:shd w:val="clear" w:color="auto" w:fill="FFFFFF"/>
              </w:rPr>
              <w:t xml:space="preserve">in particular </w:t>
            </w:r>
            <w:r w:rsidR="007C7E48">
              <w:rPr>
                <w:color w:val="auto"/>
                <w:shd w:val="clear" w:color="auto" w:fill="FFFFFF"/>
              </w:rPr>
              <w:t>h</w:t>
            </w:r>
            <w:r w:rsidR="007C7E48" w:rsidRPr="007C7E48">
              <w:rPr>
                <w:color w:val="auto"/>
                <w:shd w:val="clear" w:color="auto" w:fill="FFFFFF"/>
              </w:rPr>
              <w:t xml:space="preserve">ow digital technologies </w:t>
            </w:r>
            <w:r w:rsidR="007C7E48">
              <w:rPr>
                <w:color w:val="auto"/>
                <w:shd w:val="clear" w:color="auto" w:fill="FFFFFF"/>
              </w:rPr>
              <w:t xml:space="preserve">are </w:t>
            </w:r>
            <w:r w:rsidR="007C7E48" w:rsidRPr="007C7E48">
              <w:rPr>
                <w:color w:val="auto"/>
                <w:shd w:val="clear" w:color="auto" w:fill="FFFFFF"/>
              </w:rPr>
              <w:t>enabling convivial spaces to approach development via cultural and heritage p</w:t>
            </w:r>
            <w:r w:rsidR="007C7E48">
              <w:rPr>
                <w:color w:val="auto"/>
                <w:shd w:val="clear" w:color="auto" w:fill="FFFFFF"/>
              </w:rPr>
              <w:t>athways.</w:t>
            </w:r>
            <w:r w:rsidR="00A92B0D">
              <w:rPr>
                <w:color w:val="auto"/>
              </w:rPr>
              <w:t xml:space="preserve"> </w:t>
            </w:r>
          </w:p>
          <w:p w14:paraId="1DF8B744" w14:textId="77777777" w:rsidR="007C7E48" w:rsidRDefault="007C7E48" w:rsidP="00DD72DD">
            <w:pPr>
              <w:tabs>
                <w:tab w:val="left" w:pos="7215"/>
              </w:tabs>
              <w:rPr>
                <w:color w:val="auto"/>
              </w:rPr>
            </w:pPr>
          </w:p>
          <w:p w14:paraId="174511D3" w14:textId="22153795" w:rsidR="00DD72DD" w:rsidRPr="00DD72DD" w:rsidRDefault="00A92B0D" w:rsidP="00DD72DD">
            <w:pPr>
              <w:tabs>
                <w:tab w:val="left" w:pos="7215"/>
              </w:tabs>
              <w:rPr>
                <w:color w:val="auto"/>
              </w:rPr>
            </w:pPr>
            <w:r>
              <w:rPr>
                <w:color w:val="auto"/>
              </w:rPr>
              <w:t xml:space="preserve">The project </w:t>
            </w:r>
            <w:r w:rsidR="005C3AB5">
              <w:rPr>
                <w:color w:val="auto"/>
              </w:rPr>
              <w:t xml:space="preserve">will </w:t>
            </w:r>
            <w:r>
              <w:rPr>
                <w:color w:val="auto"/>
              </w:rPr>
              <w:t xml:space="preserve">seek to </w:t>
            </w:r>
            <w:r w:rsidR="005C3AB5">
              <w:rPr>
                <w:color w:val="auto"/>
              </w:rPr>
              <w:t xml:space="preserve">partner with established diaspora and cultural organisations </w:t>
            </w:r>
            <w:r w:rsidR="007C7E48">
              <w:rPr>
                <w:color w:val="auto"/>
              </w:rPr>
              <w:t xml:space="preserve">to take </w:t>
            </w:r>
            <w:r w:rsidR="00DD72DD" w:rsidRPr="00DD72DD">
              <w:rPr>
                <w:color w:val="auto"/>
              </w:rPr>
              <w:t>a comparative approach by focusing on African countries of origin with the highest number of diaspora populations living i</w:t>
            </w:r>
            <w:r>
              <w:rPr>
                <w:color w:val="auto"/>
              </w:rPr>
              <w:t>n the West: Nigeria; Somalia;</w:t>
            </w:r>
            <w:r w:rsidR="00DD72DD" w:rsidRPr="00DD72DD">
              <w:rPr>
                <w:color w:val="auto"/>
              </w:rPr>
              <w:t xml:space="preserve"> Zimbabwe</w:t>
            </w:r>
            <w:r>
              <w:rPr>
                <w:color w:val="auto"/>
              </w:rPr>
              <w:t>;</w:t>
            </w:r>
            <w:r w:rsidR="00DD72DD" w:rsidRPr="00DD72DD">
              <w:rPr>
                <w:color w:val="auto"/>
              </w:rPr>
              <w:t xml:space="preserve"> and Ghana. </w:t>
            </w:r>
            <w:r w:rsidR="00333243">
              <w:rPr>
                <w:color w:val="auto"/>
              </w:rPr>
              <w:t>Purposeful in its approach, t</w:t>
            </w:r>
            <w:r w:rsidR="00DD72DD" w:rsidRPr="00DD72DD">
              <w:rPr>
                <w:color w:val="auto"/>
              </w:rPr>
              <w:t>he project</w:t>
            </w:r>
            <w:r w:rsidR="004425CB">
              <w:rPr>
                <w:color w:val="auto"/>
              </w:rPr>
              <w:t xml:space="preserve"> </w:t>
            </w:r>
            <w:r w:rsidR="00DD72DD" w:rsidRPr="00DD72DD">
              <w:rPr>
                <w:color w:val="auto"/>
              </w:rPr>
              <w:t xml:space="preserve">will </w:t>
            </w:r>
            <w:r>
              <w:rPr>
                <w:color w:val="auto"/>
              </w:rPr>
              <w:t xml:space="preserve">seek to </w:t>
            </w:r>
            <w:r w:rsidR="008C58F5">
              <w:rPr>
                <w:color w:val="auto"/>
              </w:rPr>
              <w:t>provide recommendations for public policy and development agencies</w:t>
            </w:r>
            <w:r w:rsidR="00333243">
              <w:rPr>
                <w:color w:val="auto"/>
              </w:rPr>
              <w:t>, as well as cultural organisations,</w:t>
            </w:r>
            <w:r w:rsidR="0069788C">
              <w:rPr>
                <w:color w:val="auto"/>
              </w:rPr>
              <w:t xml:space="preserve"> to adopt a culture and heritage approach to development in Africa that can offer more sustainable and dignified pathways.</w:t>
            </w:r>
          </w:p>
          <w:p w14:paraId="0DAE5688" w14:textId="40398073" w:rsidR="007C7E48" w:rsidRPr="00A92B0D" w:rsidRDefault="007C7E48" w:rsidP="007C7E48">
            <w:pPr>
              <w:rPr>
                <w:shd w:val="clear" w:color="auto" w:fill="FFFFFF"/>
              </w:rPr>
            </w:pPr>
          </w:p>
          <w:p w14:paraId="2B4075C8" w14:textId="33B2F47F" w:rsidR="007C7E48" w:rsidRDefault="007C7E48" w:rsidP="007C7E48">
            <w:pPr>
              <w:rPr>
                <w:color w:val="auto"/>
                <w:shd w:val="clear" w:color="auto" w:fill="FFFFFF"/>
              </w:rPr>
            </w:pPr>
            <w:r w:rsidRPr="007C7E48">
              <w:rPr>
                <w:color w:val="auto"/>
                <w:shd w:val="clear" w:color="auto" w:fill="FFFFFF"/>
              </w:rPr>
              <w:t xml:space="preserve">Radcliffe, S. (Ed.). (2006). Culture and Development in a Globalizing World: Geographies, Actors and Paradigms (1st ed.). Routledge. </w:t>
            </w:r>
            <w:hyperlink r:id="rId5" w:history="1">
              <w:r w:rsidRPr="0018717D">
                <w:rPr>
                  <w:rStyle w:val="Hyperlink"/>
                  <w:shd w:val="clear" w:color="auto" w:fill="FFFFFF"/>
                </w:rPr>
                <w:t>https://doi.org/10.4324/9780203641019</w:t>
              </w:r>
            </w:hyperlink>
          </w:p>
          <w:p w14:paraId="00EB1F35" w14:textId="77777777" w:rsidR="007C7E48" w:rsidRPr="007C7E48" w:rsidRDefault="007C7E48" w:rsidP="007C7E48">
            <w:pPr>
              <w:rPr>
                <w:color w:val="auto"/>
                <w:shd w:val="clear" w:color="auto" w:fill="FFFFFF"/>
              </w:rPr>
            </w:pPr>
          </w:p>
          <w:p w14:paraId="62F34482" w14:textId="77777777" w:rsidR="007C7E48" w:rsidRPr="007C7E48" w:rsidRDefault="007C7E48" w:rsidP="007C7E48">
            <w:pPr>
              <w:rPr>
                <w:color w:val="auto"/>
                <w:shd w:val="clear" w:color="auto" w:fill="FFFFFF"/>
              </w:rPr>
            </w:pPr>
            <w:r w:rsidRPr="007C7E48">
              <w:rPr>
                <w:color w:val="auto"/>
                <w:shd w:val="clear" w:color="auto" w:fill="FFFFFF"/>
              </w:rPr>
              <w:t xml:space="preserve">Walker, E.B., Boyer, D.M. Research as storytelling: the use of video for mixed methods research. Video J. of Educ. and Pedagogy 3, 8 (2018). https://doi.org/10.1186/s40990-018-0020-4 </w:t>
            </w:r>
          </w:p>
          <w:p w14:paraId="6F2983A6" w14:textId="77777777" w:rsidR="007C7E48" w:rsidRDefault="007C7E48" w:rsidP="007C7E48">
            <w:pPr>
              <w:rPr>
                <w:color w:val="auto"/>
                <w:shd w:val="clear" w:color="auto" w:fill="FFFFFF"/>
              </w:rPr>
            </w:pPr>
          </w:p>
          <w:p w14:paraId="29981AAD" w14:textId="735A6D8C" w:rsidR="007C7E48" w:rsidRPr="007C7E48" w:rsidRDefault="007C7E48" w:rsidP="007C7E48">
            <w:pPr>
              <w:rPr>
                <w:color w:val="auto"/>
                <w:shd w:val="clear" w:color="auto" w:fill="FFFFFF"/>
              </w:rPr>
            </w:pPr>
            <w:proofErr w:type="spellStart"/>
            <w:r w:rsidRPr="007C7E48">
              <w:rPr>
                <w:color w:val="auto"/>
                <w:shd w:val="clear" w:color="auto" w:fill="FFFFFF"/>
              </w:rPr>
              <w:t>Stupples</w:t>
            </w:r>
            <w:proofErr w:type="spellEnd"/>
            <w:r w:rsidRPr="007C7E48">
              <w:rPr>
                <w:color w:val="auto"/>
                <w:shd w:val="clear" w:color="auto" w:fill="FFFFFF"/>
              </w:rPr>
              <w:t xml:space="preserve">, P. (2014). Creative contributions: The role of the arts and the cultural sector in development. Progress in Development Studies, 14(2), 115–130. </w:t>
            </w:r>
          </w:p>
          <w:p w14:paraId="417D0775" w14:textId="77777777" w:rsidR="007C7E48" w:rsidRDefault="007C7E48" w:rsidP="007C7E48">
            <w:pPr>
              <w:rPr>
                <w:color w:val="auto"/>
                <w:shd w:val="clear" w:color="auto" w:fill="FFFFFF"/>
              </w:rPr>
            </w:pPr>
          </w:p>
          <w:p w14:paraId="3093FFE5" w14:textId="26AC77CF" w:rsidR="007C7E48" w:rsidRPr="007C7E48" w:rsidRDefault="007C7E48" w:rsidP="007C7E48">
            <w:pPr>
              <w:rPr>
                <w:color w:val="auto"/>
                <w:shd w:val="clear" w:color="auto" w:fill="FFFFFF"/>
              </w:rPr>
            </w:pPr>
            <w:r w:rsidRPr="007C7E48">
              <w:rPr>
                <w:color w:val="auto"/>
                <w:shd w:val="clear" w:color="auto" w:fill="FFFFFF"/>
              </w:rPr>
              <w:t>UNDP 2019, https://hdr.undp.org/content/how-cultural-and-creative-industries-can-power-human-development-21st-century</w:t>
            </w:r>
          </w:p>
          <w:p w14:paraId="2C5235ED" w14:textId="19718719" w:rsidR="00860EB6" w:rsidRPr="00DD72DD" w:rsidRDefault="00860EB6" w:rsidP="00DC3455">
            <w:pPr>
              <w:rPr>
                <w:b/>
                <w:color w:val="auto"/>
              </w:rPr>
            </w:pPr>
          </w:p>
        </w:tc>
      </w:tr>
    </w:tbl>
    <w:p w14:paraId="2DD9416D" w14:textId="77777777" w:rsidR="00860EB6" w:rsidRPr="00DD72DD" w:rsidRDefault="00860EB6" w:rsidP="00860EB6">
      <w:pPr>
        <w:spacing w:after="0" w:line="240" w:lineRule="auto"/>
        <w:rPr>
          <w:color w:val="auto"/>
        </w:rPr>
      </w:pPr>
    </w:p>
    <w:p w14:paraId="02AFCC11" w14:textId="77777777" w:rsidR="00196D32" w:rsidRPr="00DD72DD" w:rsidRDefault="00196D32">
      <w:pPr>
        <w:rPr>
          <w:color w:val="auto"/>
        </w:rPr>
      </w:pPr>
    </w:p>
    <w:sectPr w:rsidR="00196D32" w:rsidRPr="00DD72DD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1952"/>
    <w:multiLevelType w:val="hybridMultilevel"/>
    <w:tmpl w:val="16528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172E48"/>
    <w:rsid w:val="00196D32"/>
    <w:rsid w:val="001C353A"/>
    <w:rsid w:val="00333243"/>
    <w:rsid w:val="0039434C"/>
    <w:rsid w:val="003F5164"/>
    <w:rsid w:val="004425CB"/>
    <w:rsid w:val="00446164"/>
    <w:rsid w:val="005C3AB5"/>
    <w:rsid w:val="0068498C"/>
    <w:rsid w:val="00690C5D"/>
    <w:rsid w:val="0069788C"/>
    <w:rsid w:val="007C7E48"/>
    <w:rsid w:val="007E0F2E"/>
    <w:rsid w:val="00860EB6"/>
    <w:rsid w:val="0088645E"/>
    <w:rsid w:val="008C58F5"/>
    <w:rsid w:val="00993F8D"/>
    <w:rsid w:val="00A30A6D"/>
    <w:rsid w:val="00A92B0D"/>
    <w:rsid w:val="00CD546B"/>
    <w:rsid w:val="00DA5C6A"/>
    <w:rsid w:val="00DC38DA"/>
    <w:rsid w:val="00DD72DD"/>
    <w:rsid w:val="00F07EC0"/>
    <w:rsid w:val="00F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AF5C"/>
  <w15:chartTrackingRefBased/>
  <w15:docId w15:val="{F326E676-F9AD-4A13-A8A1-CAC980D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B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4324/9780203641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Forchtner, Bernhard (Dr.)</dc:creator>
  <cp:keywords/>
  <dc:description/>
  <cp:lastModifiedBy>White, Karen L.</cp:lastModifiedBy>
  <cp:revision>2</cp:revision>
  <dcterms:created xsi:type="dcterms:W3CDTF">2022-11-25T13:13:00Z</dcterms:created>
  <dcterms:modified xsi:type="dcterms:W3CDTF">2022-11-25T13:13:00Z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-1203570974</vt:i4>
  </property>
</Properties>
</file>