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50DF" w14:textId="77777777" w:rsidR="00B47AF7" w:rsidRDefault="00B47AF7" w:rsidP="00B47AF7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University of Leicester </w:t>
      </w:r>
    </w:p>
    <w:p w14:paraId="30BAA854" w14:textId="14BAA31D" w:rsidR="00B47AF7" w:rsidRDefault="00B47AF7" w:rsidP="00B47AF7">
      <w:pPr>
        <w:spacing w:line="240" w:lineRule="auto"/>
        <w:rPr>
          <w:rFonts w:ascii="Arial" w:eastAsiaTheme="minorHAnsi" w:hAnsi="Arial" w:cs="Arial"/>
          <w:b/>
          <w:color w:val="auto"/>
        </w:rPr>
      </w:pPr>
      <w:r>
        <w:rPr>
          <w:rFonts w:cs="Arial"/>
          <w:b/>
        </w:rPr>
        <w:t xml:space="preserve">Future </w:t>
      </w:r>
      <w:proofErr w:type="gramStart"/>
      <w:r>
        <w:rPr>
          <w:rFonts w:cs="Arial"/>
          <w:b/>
        </w:rPr>
        <w:t xml:space="preserve">50 </w:t>
      </w:r>
      <w:r>
        <w:rPr>
          <w:rFonts w:cs="Arial"/>
          <w:b/>
        </w:rPr>
        <w:t xml:space="preserve"> PhD</w:t>
      </w:r>
      <w:proofErr w:type="gramEnd"/>
      <w:r>
        <w:rPr>
          <w:rFonts w:cs="Arial"/>
          <w:b/>
        </w:rPr>
        <w:t xml:space="preserve"> Scholarship </w:t>
      </w:r>
    </w:p>
    <w:p w14:paraId="7ACD3F70" w14:textId="77777777" w:rsidR="00FA65DC" w:rsidRPr="00E676C7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E676C7" w14:paraId="6D366A07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F079676" w14:textId="77777777" w:rsidR="00FA65DC" w:rsidRPr="00E676C7" w:rsidRDefault="00FA65DC" w:rsidP="00745670">
            <w:pPr>
              <w:rPr>
                <w:b/>
              </w:rPr>
            </w:pPr>
            <w:r w:rsidRPr="00E676C7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1240090" w14:textId="418E24F3" w:rsidR="00FA65DC" w:rsidRPr="00E676C7" w:rsidRDefault="004A66C0" w:rsidP="00745670">
            <w:r>
              <w:t xml:space="preserve">SOB </w:t>
            </w:r>
            <w:r w:rsidRPr="00E676C7">
              <w:t>Seifert</w:t>
            </w:r>
          </w:p>
        </w:tc>
      </w:tr>
    </w:tbl>
    <w:p w14:paraId="5B8E86F4" w14:textId="77777777" w:rsidR="00FA65DC" w:rsidRPr="00E676C7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FA65DC" w:rsidRPr="00E676C7" w14:paraId="322E1222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FA65DC" w:rsidRPr="00E676C7" w:rsidRDefault="00FA65DC" w:rsidP="00745670">
            <w:pPr>
              <w:rPr>
                <w:b/>
              </w:rPr>
            </w:pPr>
            <w:r w:rsidRPr="00E676C7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0B4C4284" w:rsidR="00FA65DC" w:rsidRPr="00E676C7" w:rsidRDefault="00710417" w:rsidP="00745670">
            <w:r w:rsidRPr="00E676C7">
              <w:t>Dr Jacob Seifert</w:t>
            </w:r>
          </w:p>
        </w:tc>
      </w:tr>
      <w:tr w:rsidR="00FA65DC" w:rsidRPr="00E676C7" w14:paraId="15ED5BBE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FA65DC" w:rsidRPr="00E676C7" w:rsidRDefault="00FA65DC" w:rsidP="00745670">
            <w:pPr>
              <w:rPr>
                <w:b/>
              </w:rPr>
            </w:pPr>
            <w:r w:rsidRPr="00E676C7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59DA5A98" w:rsidR="00FA65DC" w:rsidRPr="00E676C7" w:rsidRDefault="00710417" w:rsidP="00710417">
            <w:r w:rsidRPr="00E676C7">
              <w:t>School of Business / Economics, Fin</w:t>
            </w:r>
            <w:r w:rsidR="005836E7" w:rsidRPr="00E676C7">
              <w:t>ance and</w:t>
            </w:r>
            <w:r w:rsidRPr="00E676C7">
              <w:t xml:space="preserve"> Accounting</w:t>
            </w:r>
            <w:r w:rsidR="005836E7" w:rsidRPr="00E676C7">
              <w:t xml:space="preserve"> (EFA)</w:t>
            </w:r>
          </w:p>
        </w:tc>
      </w:tr>
      <w:tr w:rsidR="00FA65DC" w:rsidRPr="00E676C7" w14:paraId="3C049093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FA65DC" w:rsidRPr="00E676C7" w:rsidRDefault="00FA65DC" w:rsidP="00745670">
            <w:pPr>
              <w:rPr>
                <w:b/>
              </w:rPr>
            </w:pPr>
            <w:r w:rsidRPr="00E676C7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3A3807ED" w:rsidR="00FA65DC" w:rsidRPr="00E676C7" w:rsidRDefault="00B47AF7" w:rsidP="00745670">
            <w:hyperlink r:id="rId8" w:history="1">
              <w:r w:rsidR="005836E7" w:rsidRPr="00E676C7">
                <w:rPr>
                  <w:rStyle w:val="Hyperlink"/>
                </w:rPr>
                <w:t>js949@le.ac.uk</w:t>
              </w:r>
            </w:hyperlink>
            <w:r w:rsidR="005836E7" w:rsidRPr="00E676C7"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E676C7" w:rsidRDefault="00FA65DC" w:rsidP="00745670">
            <w:pPr>
              <w:rPr>
                <w:b/>
              </w:rPr>
            </w:pPr>
            <w:r w:rsidRPr="00E676C7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58F856A9" w:rsidR="00FA65DC" w:rsidRPr="00E676C7" w:rsidRDefault="00710417" w:rsidP="00745670">
            <w:r w:rsidRPr="00E676C7">
              <w:t>223 1977</w:t>
            </w:r>
          </w:p>
        </w:tc>
      </w:tr>
    </w:tbl>
    <w:p w14:paraId="162B3956" w14:textId="77777777" w:rsidR="00FA65DC" w:rsidRPr="00E676C7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FA65DC" w:rsidRPr="00E676C7" w14:paraId="65C977B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13435B3B" w14:textId="77777777" w:rsidR="00FA65DC" w:rsidRPr="00E676C7" w:rsidRDefault="00FA65DC" w:rsidP="00745670">
            <w:pPr>
              <w:rPr>
                <w:b/>
              </w:rPr>
            </w:pPr>
            <w:r w:rsidRPr="00E676C7"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A0FA8BF" w14:textId="08F4E4B4" w:rsidR="00FA65DC" w:rsidRPr="00E676C7" w:rsidRDefault="00710417" w:rsidP="00745670">
            <w:r w:rsidRPr="00E676C7">
              <w:t xml:space="preserve">Professor </w:t>
            </w:r>
            <w:proofErr w:type="spellStart"/>
            <w:r w:rsidRPr="00E676C7">
              <w:t>Piercarlo</w:t>
            </w:r>
            <w:proofErr w:type="spellEnd"/>
            <w:r w:rsidRPr="00E676C7">
              <w:t xml:space="preserve"> </w:t>
            </w:r>
            <w:proofErr w:type="spellStart"/>
            <w:r w:rsidRPr="00E676C7">
              <w:t>Zanchettin</w:t>
            </w:r>
            <w:proofErr w:type="spellEnd"/>
          </w:p>
        </w:tc>
      </w:tr>
      <w:tr w:rsidR="00FA65DC" w:rsidRPr="00E676C7" w14:paraId="58044821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7D02502A" w14:textId="77777777" w:rsidR="00FA65DC" w:rsidRPr="00E676C7" w:rsidRDefault="00FA65DC" w:rsidP="00745670">
            <w:pPr>
              <w:rPr>
                <w:b/>
              </w:rPr>
            </w:pPr>
            <w:r w:rsidRPr="00E676C7"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CCA4D4C" w14:textId="4E23A3FD" w:rsidR="00FA65DC" w:rsidRPr="00E676C7" w:rsidRDefault="00710417" w:rsidP="005836E7">
            <w:r w:rsidRPr="00E676C7">
              <w:t xml:space="preserve">Professor </w:t>
            </w:r>
            <w:proofErr w:type="spellStart"/>
            <w:r w:rsidRPr="00E676C7">
              <w:t>Zanchettin</w:t>
            </w:r>
            <w:proofErr w:type="spellEnd"/>
            <w:r w:rsidRPr="00E676C7">
              <w:t xml:space="preserve"> will join the School of Business in the Department of Economics, Finance </w:t>
            </w:r>
            <w:r w:rsidR="005836E7" w:rsidRPr="00E676C7">
              <w:t>and</w:t>
            </w:r>
            <w:r w:rsidRPr="00E676C7">
              <w:t xml:space="preserve"> Accounting in January 2023</w:t>
            </w:r>
          </w:p>
        </w:tc>
      </w:tr>
      <w:tr w:rsidR="00FA65DC" w:rsidRPr="00E676C7" w14:paraId="64AE7F63" w14:textId="77777777" w:rsidTr="00710417">
        <w:tc>
          <w:tcPr>
            <w:tcW w:w="3256" w:type="dxa"/>
            <w:shd w:val="clear" w:color="auto" w:fill="F2F2F2" w:themeFill="background1" w:themeFillShade="F2"/>
          </w:tcPr>
          <w:p w14:paraId="37500CEE" w14:textId="77777777" w:rsidR="00FA65DC" w:rsidRPr="00E676C7" w:rsidRDefault="00FA65DC" w:rsidP="00745670">
            <w:pPr>
              <w:rPr>
                <w:b/>
              </w:rPr>
            </w:pPr>
            <w:r w:rsidRPr="00E676C7">
              <w:rPr>
                <w:b/>
              </w:rPr>
              <w:t xml:space="preserve">Email </w:t>
            </w:r>
          </w:p>
        </w:tc>
        <w:tc>
          <w:tcPr>
            <w:tcW w:w="2664" w:type="dxa"/>
            <w:vAlign w:val="center"/>
          </w:tcPr>
          <w:p w14:paraId="150CD25E" w14:textId="6617DEDE" w:rsidR="00FA65DC" w:rsidRPr="00E676C7" w:rsidRDefault="00B47AF7" w:rsidP="00745670">
            <w:pPr>
              <w:rPr>
                <w:sz w:val="15"/>
                <w:szCs w:val="15"/>
              </w:rPr>
            </w:pPr>
            <w:hyperlink r:id="rId9" w:history="1">
              <w:r w:rsidR="00710417" w:rsidRPr="00E676C7">
                <w:rPr>
                  <w:rStyle w:val="Hyperlink"/>
                  <w:sz w:val="15"/>
                  <w:szCs w:val="15"/>
                </w:rPr>
                <w:t>Piercarlo.Zanchettin@nottingham.ac.uk</w:t>
              </w:r>
            </w:hyperlink>
            <w:r w:rsidR="00710417" w:rsidRPr="00E676C7">
              <w:rPr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EF13B3" w14:textId="77777777" w:rsidR="00FA65DC" w:rsidRPr="00E676C7" w:rsidRDefault="00FA65DC" w:rsidP="00745670">
            <w:pPr>
              <w:rPr>
                <w:b/>
              </w:rPr>
            </w:pPr>
            <w:r w:rsidRPr="00E676C7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1CF9A749" w:rsidR="00FA65DC" w:rsidRPr="00E676C7" w:rsidRDefault="00710417" w:rsidP="00745670">
            <w:r w:rsidRPr="00E676C7">
              <w:t>TBC</w:t>
            </w:r>
          </w:p>
        </w:tc>
      </w:tr>
    </w:tbl>
    <w:p w14:paraId="1559EDEE" w14:textId="77777777" w:rsidR="00FA65DC" w:rsidRPr="00E676C7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:rsidRPr="00E676C7" w14:paraId="7F52B30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6098BB1" w14:textId="77777777" w:rsidR="00FA65DC" w:rsidRPr="00E676C7" w:rsidRDefault="00FA65DC" w:rsidP="00745670">
            <w:pPr>
              <w:rPr>
                <w:b/>
              </w:rPr>
            </w:pPr>
            <w:r w:rsidRPr="00E676C7"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2740E30A" w14:textId="7D18FE79" w:rsidR="00FA65DC" w:rsidRPr="00E676C7" w:rsidRDefault="00710417" w:rsidP="005836E7">
            <w:r w:rsidRPr="00E676C7">
              <w:t xml:space="preserve">Dr Arkadiusz </w:t>
            </w:r>
            <w:proofErr w:type="spellStart"/>
            <w:r w:rsidRPr="00E676C7">
              <w:t>Szydlowski</w:t>
            </w:r>
            <w:proofErr w:type="spellEnd"/>
            <w:r w:rsidR="005836E7" w:rsidRPr="00E676C7">
              <w:t xml:space="preserve"> (EFA, </w:t>
            </w:r>
            <w:hyperlink r:id="rId10" w:history="1">
              <w:r w:rsidR="005836E7" w:rsidRPr="00E676C7">
                <w:rPr>
                  <w:rStyle w:val="Hyperlink"/>
                </w:rPr>
                <w:t>ams102@le.ac.uk</w:t>
              </w:r>
            </w:hyperlink>
            <w:r w:rsidR="00D80C54" w:rsidRPr="00E676C7">
              <w:t>, 252 5145</w:t>
            </w:r>
            <w:r w:rsidR="005836E7" w:rsidRPr="00E676C7">
              <w:t xml:space="preserve">) </w:t>
            </w:r>
          </w:p>
        </w:tc>
      </w:tr>
    </w:tbl>
    <w:p w14:paraId="22AAD675" w14:textId="77777777" w:rsidR="00FA65DC" w:rsidRPr="00E676C7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E676C7" w:rsidRDefault="00FA65DC" w:rsidP="00FA65DC">
      <w:pPr>
        <w:spacing w:after="0" w:line="240" w:lineRule="auto"/>
        <w:rPr>
          <w:b/>
          <w:i/>
        </w:rPr>
      </w:pPr>
      <w:r w:rsidRPr="00E676C7">
        <w:rPr>
          <w:b/>
        </w:rPr>
        <w:t xml:space="preserve">Section 2 – </w:t>
      </w:r>
      <w:r w:rsidRPr="00E676C7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:rsidRPr="00E676C7" w14:paraId="32F16E9A" w14:textId="77777777" w:rsidTr="00710417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Pr="00E676C7" w:rsidRDefault="00FA65DC" w:rsidP="00745670">
            <w:pPr>
              <w:rPr>
                <w:b/>
              </w:rPr>
            </w:pPr>
            <w:r w:rsidRPr="00E676C7">
              <w:rPr>
                <w:b/>
              </w:rPr>
              <w:t>Project Title</w:t>
            </w:r>
          </w:p>
          <w:p w14:paraId="49CCFA5C" w14:textId="77777777" w:rsidR="00FA65DC" w:rsidRPr="00E676C7" w:rsidRDefault="00FA65DC" w:rsidP="00745670">
            <w:pPr>
              <w:rPr>
                <w:b/>
              </w:rPr>
            </w:pPr>
          </w:p>
        </w:tc>
        <w:tc>
          <w:tcPr>
            <w:tcW w:w="7036" w:type="dxa"/>
            <w:gridSpan w:val="2"/>
            <w:vAlign w:val="center"/>
          </w:tcPr>
          <w:p w14:paraId="4560433B" w14:textId="77777777" w:rsidR="00DC13F5" w:rsidRPr="00E676C7" w:rsidRDefault="00DC13F5" w:rsidP="00745670"/>
          <w:p w14:paraId="545E8661" w14:textId="57B679B5" w:rsidR="005836E7" w:rsidRPr="00D47207" w:rsidRDefault="00710417" w:rsidP="00745670">
            <w:pPr>
              <w:rPr>
                <w:color w:val="auto"/>
              </w:rPr>
            </w:pPr>
            <w:r w:rsidRPr="00D47207">
              <w:rPr>
                <w:color w:val="auto"/>
              </w:rPr>
              <w:t>E-Merg</w:t>
            </w:r>
            <w:r w:rsidR="000A4F11" w:rsidRPr="00D47207">
              <w:rPr>
                <w:color w:val="auto"/>
              </w:rPr>
              <w:t xml:space="preserve">ers, </w:t>
            </w:r>
            <w:r w:rsidRPr="00D47207">
              <w:rPr>
                <w:color w:val="auto"/>
              </w:rPr>
              <w:t>Innovation and Digital Platform Competition</w:t>
            </w:r>
          </w:p>
          <w:p w14:paraId="57AD6B12" w14:textId="3C103218" w:rsidR="00DC13F5" w:rsidRPr="00E676C7" w:rsidRDefault="00DC13F5" w:rsidP="00745670"/>
        </w:tc>
      </w:tr>
      <w:tr w:rsidR="00FA65DC" w:rsidRPr="00E676C7" w14:paraId="2B452CC2" w14:textId="77777777" w:rsidTr="0074567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Pr="00E676C7" w:rsidRDefault="00FA65DC" w:rsidP="00745670">
            <w:pPr>
              <w:rPr>
                <w:b/>
              </w:rPr>
            </w:pPr>
            <w:r w:rsidRPr="00E676C7"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Pr="00E676C7" w:rsidRDefault="00FA65DC" w:rsidP="00745670">
            <w:r w:rsidRPr="00E676C7">
              <w:t>1.</w:t>
            </w:r>
          </w:p>
        </w:tc>
        <w:tc>
          <w:tcPr>
            <w:tcW w:w="6611" w:type="dxa"/>
          </w:tcPr>
          <w:p w14:paraId="0B8C9538" w14:textId="19825121" w:rsidR="00FA65DC" w:rsidRPr="00E676C7" w:rsidRDefault="00B12452" w:rsidP="00ED1E21">
            <w:r>
              <w:t>The project explores competition and innovation outcomes in digital markets</w:t>
            </w:r>
            <w:r w:rsidR="00ED1E21">
              <w:t xml:space="preserve">, which </w:t>
            </w:r>
            <w:r>
              <w:t>are fundamental to modern society.</w:t>
            </w:r>
          </w:p>
        </w:tc>
      </w:tr>
      <w:tr w:rsidR="00FA65DC" w:rsidRPr="00E676C7" w14:paraId="55CCBDBC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17D2D6C9" w14:textId="77777777" w:rsidR="00FA65DC" w:rsidRPr="00E676C7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Pr="00E676C7" w:rsidRDefault="00FA65DC" w:rsidP="00745670">
            <w:r w:rsidRPr="00E676C7">
              <w:t>2.</w:t>
            </w:r>
          </w:p>
        </w:tc>
        <w:tc>
          <w:tcPr>
            <w:tcW w:w="6611" w:type="dxa"/>
          </w:tcPr>
          <w:p w14:paraId="5D02F70E" w14:textId="05319AE2" w:rsidR="00FA65DC" w:rsidRPr="00E676C7" w:rsidRDefault="00C43D6A" w:rsidP="00C43D6A">
            <w:r>
              <w:t>Theoretical and empirical tools will be used to analyse the impact of mergers on innovation and</w:t>
            </w:r>
            <w:r w:rsidR="00ED1E21">
              <w:t xml:space="preserve"> on</w:t>
            </w:r>
            <w:r>
              <w:t xml:space="preserve"> the wellbeing of society as a whole.</w:t>
            </w:r>
          </w:p>
        </w:tc>
      </w:tr>
      <w:tr w:rsidR="00FA65DC" w:rsidRPr="00E676C7" w14:paraId="691A2B0B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2A97B37C" w14:textId="77777777" w:rsidR="00FA65DC" w:rsidRPr="00E676C7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Pr="00E676C7" w:rsidRDefault="00FA65DC" w:rsidP="00745670">
            <w:r w:rsidRPr="00E676C7">
              <w:t>3.</w:t>
            </w:r>
          </w:p>
        </w:tc>
        <w:tc>
          <w:tcPr>
            <w:tcW w:w="6611" w:type="dxa"/>
          </w:tcPr>
          <w:p w14:paraId="194AE404" w14:textId="3863B6E8" w:rsidR="00FA65DC" w:rsidRPr="00E676C7" w:rsidRDefault="00C43D6A" w:rsidP="00B12452">
            <w:r>
              <w:t>The analysis will generate policy implications in relation to legislative initiatives seek</w:t>
            </w:r>
            <w:r w:rsidR="00B12452">
              <w:t>ing</w:t>
            </w:r>
            <w:r>
              <w:t xml:space="preserve"> to protect consumers in digital markets.</w:t>
            </w:r>
          </w:p>
        </w:tc>
      </w:tr>
      <w:tr w:rsidR="00FA65DC" w:rsidRPr="00E676C7" w14:paraId="045BF4FC" w14:textId="77777777" w:rsidTr="0074567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Pr="00E676C7" w:rsidRDefault="00FA65DC" w:rsidP="00745670">
            <w:r w:rsidRPr="00E676C7">
              <w:rPr>
                <w:b/>
              </w:rPr>
              <w:t xml:space="preserve">Project Summary </w:t>
            </w:r>
          </w:p>
        </w:tc>
      </w:tr>
      <w:tr w:rsidR="00FA65DC" w:rsidRPr="00E676C7" w14:paraId="2100A649" w14:textId="77777777" w:rsidTr="00745670">
        <w:tc>
          <w:tcPr>
            <w:tcW w:w="9016" w:type="dxa"/>
            <w:gridSpan w:val="3"/>
          </w:tcPr>
          <w:p w14:paraId="56D21B9F" w14:textId="77777777" w:rsidR="00FA65DC" w:rsidRPr="00E676C7" w:rsidRDefault="00FA65DC" w:rsidP="00745670">
            <w:pPr>
              <w:rPr>
                <w:b/>
              </w:rPr>
            </w:pPr>
          </w:p>
          <w:p w14:paraId="16B72F9A" w14:textId="29137E4F" w:rsidR="00967DCE" w:rsidRDefault="005836E7" w:rsidP="00745670">
            <w:r w:rsidRPr="00E676C7">
              <w:rPr>
                <w:b/>
              </w:rPr>
              <w:t>Digital markets</w:t>
            </w:r>
            <w:r w:rsidRPr="00E676C7">
              <w:t xml:space="preserve"> </w:t>
            </w:r>
            <w:r w:rsidR="00DC13F5" w:rsidRPr="00E676C7">
              <w:t xml:space="preserve">are ubiquitous in the </w:t>
            </w:r>
            <w:r w:rsidR="00DC13F5" w:rsidRPr="00D47207">
              <w:rPr>
                <w:color w:val="auto"/>
              </w:rPr>
              <w:t xml:space="preserve">daily transactions of today’s society. </w:t>
            </w:r>
            <w:r w:rsidR="002D2457" w:rsidRPr="00D47207">
              <w:rPr>
                <w:color w:val="auto"/>
              </w:rPr>
              <w:t>Most of these</w:t>
            </w:r>
            <w:r w:rsidR="00DC13F5" w:rsidRPr="00D47207">
              <w:rPr>
                <w:color w:val="auto"/>
              </w:rPr>
              <w:t xml:space="preserve"> </w:t>
            </w:r>
            <w:r w:rsidR="00DC13F5" w:rsidRPr="003732CC">
              <w:rPr>
                <w:color w:val="auto"/>
              </w:rPr>
              <w:t xml:space="preserve">transactions </w:t>
            </w:r>
            <w:r w:rsidR="002D2457" w:rsidRPr="003732CC">
              <w:rPr>
                <w:color w:val="auto"/>
              </w:rPr>
              <w:t>involve</w:t>
            </w:r>
            <w:r w:rsidR="00D80C54" w:rsidRPr="003732CC">
              <w:rPr>
                <w:color w:val="auto"/>
              </w:rPr>
              <w:t xml:space="preserve"> </w:t>
            </w:r>
            <w:r w:rsidR="000A4F11" w:rsidRPr="003732CC">
              <w:rPr>
                <w:color w:val="auto"/>
              </w:rPr>
              <w:t>“</w:t>
            </w:r>
            <w:r w:rsidR="00D47207" w:rsidRPr="003732CC">
              <w:rPr>
                <w:color w:val="auto"/>
              </w:rPr>
              <w:t xml:space="preserve">digital </w:t>
            </w:r>
            <w:r w:rsidR="002D2457" w:rsidRPr="003732CC">
              <w:rPr>
                <w:color w:val="auto"/>
              </w:rPr>
              <w:t>giant</w:t>
            </w:r>
            <w:r w:rsidR="00D47207" w:rsidRPr="003732CC">
              <w:rPr>
                <w:color w:val="auto"/>
              </w:rPr>
              <w:t>s</w:t>
            </w:r>
            <w:r w:rsidR="000A4F11" w:rsidRPr="003732CC">
              <w:rPr>
                <w:color w:val="auto"/>
              </w:rPr>
              <w:t>”</w:t>
            </w:r>
            <w:r w:rsidR="00D47207" w:rsidRPr="00D47207">
              <w:rPr>
                <w:color w:val="00B050"/>
              </w:rPr>
              <w:t xml:space="preserve"> </w:t>
            </w:r>
            <w:r w:rsidR="00DC13F5" w:rsidRPr="00D47207">
              <w:rPr>
                <w:color w:val="auto"/>
              </w:rPr>
              <w:t xml:space="preserve">such </w:t>
            </w:r>
            <w:r w:rsidR="00DC13F5" w:rsidRPr="00E676C7">
              <w:t>as Google, Apple, Facebook, Am</w:t>
            </w:r>
            <w:r w:rsidR="0075671F" w:rsidRPr="00E676C7">
              <w:t xml:space="preserve">azon and Microsoft </w:t>
            </w:r>
            <w:r w:rsidR="00BB1564">
              <w:t>(</w:t>
            </w:r>
            <w:r w:rsidR="0075671F" w:rsidRPr="00E676C7">
              <w:t>GAFAM</w:t>
            </w:r>
            <w:r w:rsidR="00BB1564">
              <w:t xml:space="preserve">), </w:t>
            </w:r>
            <w:r w:rsidR="00E9570B" w:rsidRPr="00E676C7">
              <w:t xml:space="preserve">which represent five of the world’s </w:t>
            </w:r>
            <w:proofErr w:type="spellStart"/>
            <w:r w:rsidR="003F7280" w:rsidRPr="00E676C7">
              <w:t>eight</w:t>
            </w:r>
            <w:proofErr w:type="spellEnd"/>
            <w:r w:rsidR="00E9570B" w:rsidRPr="00E676C7">
              <w:t xml:space="preserve"> largest companies</w:t>
            </w:r>
            <w:r w:rsidR="007E1B63">
              <w:t xml:space="preserve"> by market capitalisation</w:t>
            </w:r>
            <w:r w:rsidR="00E9570B" w:rsidRPr="00E676C7">
              <w:t xml:space="preserve"> (</w:t>
            </w:r>
            <w:hyperlink r:id="rId11" w:history="1">
              <w:r w:rsidR="00E9570B" w:rsidRPr="00E676C7">
                <w:rPr>
                  <w:rStyle w:val="Hyperlink"/>
                </w:rPr>
                <w:t>Statista</w:t>
              </w:r>
            </w:hyperlink>
            <w:r w:rsidR="00E9570B" w:rsidRPr="00E676C7">
              <w:t xml:space="preserve">). </w:t>
            </w:r>
          </w:p>
          <w:p w14:paraId="6E019250" w14:textId="77777777" w:rsidR="00967DCE" w:rsidRDefault="00967DCE" w:rsidP="00745670"/>
          <w:p w14:paraId="7EBCDB84" w14:textId="1452DB4C" w:rsidR="00B53FA7" w:rsidRDefault="00E9570B" w:rsidP="00745670">
            <w:r w:rsidRPr="00E676C7">
              <w:t xml:space="preserve">The </w:t>
            </w:r>
            <w:r w:rsidRPr="00D47207">
              <w:rPr>
                <w:color w:val="auto"/>
              </w:rPr>
              <w:t xml:space="preserve">growth of </w:t>
            </w:r>
            <w:r w:rsidR="00353B85" w:rsidRPr="00D47207">
              <w:rPr>
                <w:color w:val="auto"/>
              </w:rPr>
              <w:t>GAFAM</w:t>
            </w:r>
            <w:r w:rsidRPr="00D47207">
              <w:rPr>
                <w:color w:val="auto"/>
              </w:rPr>
              <w:t xml:space="preserve"> </w:t>
            </w:r>
            <w:r w:rsidR="007E1B63" w:rsidRPr="00D47207">
              <w:rPr>
                <w:color w:val="auto"/>
              </w:rPr>
              <w:t xml:space="preserve">is </w:t>
            </w:r>
            <w:r w:rsidR="002D2457" w:rsidRPr="00D47207">
              <w:rPr>
                <w:color w:val="auto"/>
              </w:rPr>
              <w:t>grounded</w:t>
            </w:r>
            <w:r w:rsidR="00D80C54" w:rsidRPr="00D47207">
              <w:rPr>
                <w:color w:val="auto"/>
              </w:rPr>
              <w:t xml:space="preserve"> </w:t>
            </w:r>
            <w:r w:rsidR="007E1B63" w:rsidRPr="00D47207">
              <w:rPr>
                <w:color w:val="auto"/>
              </w:rPr>
              <w:t xml:space="preserve">on a process </w:t>
            </w:r>
            <w:r w:rsidR="007E1B63">
              <w:t>of</w:t>
            </w:r>
            <w:r w:rsidR="00967DCE">
              <w:t xml:space="preserve"> </w:t>
            </w:r>
            <w:r w:rsidR="007E1B63">
              <w:rPr>
                <w:b/>
              </w:rPr>
              <w:t>innovation</w:t>
            </w:r>
            <w:r w:rsidR="007E1B63">
              <w:t xml:space="preserve"> that</w:t>
            </w:r>
            <w:r w:rsidR="00D80C54" w:rsidRPr="00E676C7">
              <w:t xml:space="preserve"> </w:t>
            </w:r>
            <w:r w:rsidR="00DD6A08">
              <w:t xml:space="preserve">has enabled </w:t>
            </w:r>
            <w:r w:rsidR="007E1B63">
              <w:t xml:space="preserve">them to </w:t>
            </w:r>
            <w:r w:rsidR="007E1B63" w:rsidRPr="00B53FA7">
              <w:t xml:space="preserve">use </w:t>
            </w:r>
            <w:r w:rsidRPr="00B53FA7">
              <w:t>data</w:t>
            </w:r>
            <w:r w:rsidRPr="00E676C7">
              <w:t xml:space="preserve"> to </w:t>
            </w:r>
            <w:r w:rsidR="00B119D7">
              <w:t>facilitate beneficial</w:t>
            </w:r>
            <w:r w:rsidRPr="00E676C7">
              <w:t xml:space="preserve"> </w:t>
            </w:r>
            <w:r w:rsidR="00B119D7">
              <w:t>interactions</w:t>
            </w:r>
            <w:r w:rsidRPr="00E676C7">
              <w:t xml:space="preserve"> between b</w:t>
            </w:r>
            <w:r w:rsidRPr="00D47207">
              <w:rPr>
                <w:color w:val="auto"/>
              </w:rPr>
              <w:t>uyers and sellers</w:t>
            </w:r>
            <w:r w:rsidR="00967DCE" w:rsidRPr="00D47207">
              <w:rPr>
                <w:color w:val="auto"/>
              </w:rPr>
              <w:t>,</w:t>
            </w:r>
            <w:r w:rsidRPr="00D47207">
              <w:rPr>
                <w:color w:val="auto"/>
              </w:rPr>
              <w:t xml:space="preserve"> software developers and users, as well as advertisers and users of diverse web-based services </w:t>
            </w:r>
            <w:r w:rsidR="004B70EF" w:rsidRPr="00D47207">
              <w:rPr>
                <w:color w:val="auto"/>
              </w:rPr>
              <w:t xml:space="preserve">(such as e-mailing, </w:t>
            </w:r>
            <w:r w:rsidR="00BB1564" w:rsidRPr="00D47207">
              <w:rPr>
                <w:color w:val="auto"/>
              </w:rPr>
              <w:t>social networking, search</w:t>
            </w:r>
            <w:r w:rsidR="004B70EF" w:rsidRPr="00D47207">
              <w:rPr>
                <w:color w:val="auto"/>
              </w:rPr>
              <w:t>ing and trading)</w:t>
            </w:r>
            <w:r w:rsidRPr="00D47207">
              <w:rPr>
                <w:color w:val="auto"/>
              </w:rPr>
              <w:t xml:space="preserve">. </w:t>
            </w:r>
            <w:r w:rsidR="004B70EF" w:rsidRPr="00D47207">
              <w:rPr>
                <w:color w:val="auto"/>
              </w:rPr>
              <w:t>A crucial</w:t>
            </w:r>
            <w:r w:rsidR="00B53FA7" w:rsidRPr="00D47207">
              <w:rPr>
                <w:color w:val="auto"/>
              </w:rPr>
              <w:t xml:space="preserve"> source of this </w:t>
            </w:r>
            <w:r w:rsidR="004B70EF" w:rsidRPr="00D47207">
              <w:rPr>
                <w:color w:val="auto"/>
              </w:rPr>
              <w:t>process</w:t>
            </w:r>
            <w:r w:rsidR="00B53FA7" w:rsidRPr="00D47207">
              <w:rPr>
                <w:color w:val="auto"/>
              </w:rPr>
              <w:t xml:space="preserve"> has been the acquisition of innovative market entrants, </w:t>
            </w:r>
            <w:r w:rsidR="004B70EF" w:rsidRPr="00D47207">
              <w:rPr>
                <w:color w:val="auto"/>
              </w:rPr>
              <w:t>typically</w:t>
            </w:r>
            <w:r w:rsidR="00B53FA7" w:rsidRPr="00D47207">
              <w:rPr>
                <w:color w:val="auto"/>
              </w:rPr>
              <w:t xml:space="preserve"> acquired long before </w:t>
            </w:r>
            <w:r w:rsidR="00B53FA7">
              <w:t xml:space="preserve">they reach </w:t>
            </w:r>
            <w:r w:rsidR="00B53FA7" w:rsidRPr="00E676C7">
              <w:t>a scale that challenges the dominant position of GAFAM (</w:t>
            </w:r>
            <w:hyperlink r:id="rId12" w:history="1">
              <w:r w:rsidR="00B53FA7" w:rsidRPr="00E676C7">
                <w:rPr>
                  <w:rStyle w:val="Hyperlink"/>
                </w:rPr>
                <w:t>Federal Trade Commission</w:t>
              </w:r>
            </w:hyperlink>
            <w:r w:rsidR="00B53FA7" w:rsidRPr="00E676C7">
              <w:t>).</w:t>
            </w:r>
          </w:p>
          <w:p w14:paraId="5631C4F8" w14:textId="77777777" w:rsidR="00BB1564" w:rsidRDefault="00BB1564" w:rsidP="00745670"/>
          <w:p w14:paraId="5499417B" w14:textId="183F98B0" w:rsidR="00B7109A" w:rsidRPr="00E676C7" w:rsidRDefault="00BB1564" w:rsidP="00745670">
            <w:r>
              <w:t xml:space="preserve">An important question that arises in this context is whether </w:t>
            </w:r>
            <w:r w:rsidRPr="00E676C7">
              <w:t>the innovative process in digital markets</w:t>
            </w:r>
            <w:r>
              <w:t xml:space="preserve"> and the benefits it promises to </w:t>
            </w:r>
            <w:r w:rsidR="00DD6A08">
              <w:t xml:space="preserve">society </w:t>
            </w:r>
            <w:r>
              <w:t xml:space="preserve">are </w:t>
            </w:r>
            <w:r w:rsidRPr="00E676C7">
              <w:t xml:space="preserve">best served by </w:t>
            </w:r>
            <w:r w:rsidR="003D3C9F">
              <w:t>a</w:t>
            </w:r>
            <w:r>
              <w:t xml:space="preserve"> </w:t>
            </w:r>
            <w:r w:rsidRPr="00E676C7">
              <w:t>small group of dominant firms</w:t>
            </w:r>
            <w:r w:rsidR="003D3C9F">
              <w:t xml:space="preserve">, </w:t>
            </w:r>
            <w:r>
              <w:t xml:space="preserve">or whether </w:t>
            </w:r>
            <w:r w:rsidR="006A5223">
              <w:t xml:space="preserve">these </w:t>
            </w:r>
            <w:r>
              <w:t>firms can exploit</w:t>
            </w:r>
            <w:r w:rsidRPr="00E676C7">
              <w:t xml:space="preserve"> their dominant market po</w:t>
            </w:r>
            <w:r w:rsidR="006A5223">
              <w:t>sition to anti-competitive ends,</w:t>
            </w:r>
            <w:r w:rsidRPr="00E676C7">
              <w:t xml:space="preserve"> with adverse effects for future innovation</w:t>
            </w:r>
            <w:r>
              <w:t>.</w:t>
            </w:r>
          </w:p>
          <w:p w14:paraId="703311E7" w14:textId="7242CE57" w:rsidR="00572C6D" w:rsidRPr="00E676C7" w:rsidRDefault="00572C6D" w:rsidP="00745670"/>
          <w:p w14:paraId="1E1573B3" w14:textId="7E3BB179" w:rsidR="003F7280" w:rsidRDefault="00BB1564" w:rsidP="00DD6A08">
            <w:pPr>
              <w:keepNext/>
              <w:keepLines/>
            </w:pPr>
            <w:r>
              <w:t>T</w:t>
            </w:r>
            <w:r w:rsidR="00E676C7" w:rsidRPr="00E676C7">
              <w:t>his project will:</w:t>
            </w:r>
          </w:p>
          <w:p w14:paraId="53146CFC" w14:textId="77777777" w:rsidR="00C43D6A" w:rsidRPr="00E676C7" w:rsidRDefault="00C43D6A" w:rsidP="00DD6A08">
            <w:pPr>
              <w:keepNext/>
              <w:keepLines/>
            </w:pPr>
          </w:p>
          <w:p w14:paraId="2AD007B4" w14:textId="77777777" w:rsidR="00353B85" w:rsidRDefault="00E676C7" w:rsidP="00353B85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E676C7">
              <w:rPr>
                <w:lang w:val="en-GB"/>
              </w:rPr>
              <w:t xml:space="preserve">Develop a framework for </w:t>
            </w:r>
            <w:r w:rsidR="00BB1564">
              <w:rPr>
                <w:lang w:val="en-GB"/>
              </w:rPr>
              <w:t>assessing</w:t>
            </w:r>
            <w:r w:rsidRPr="00E676C7">
              <w:rPr>
                <w:lang w:val="en-GB"/>
              </w:rPr>
              <w:t xml:space="preserve"> mergers in digital markets in terms of </w:t>
            </w:r>
            <w:r w:rsidRPr="00353B85">
              <w:rPr>
                <w:lang w:val="en-GB"/>
              </w:rPr>
              <w:t xml:space="preserve">their impact on </w:t>
            </w:r>
          </w:p>
          <w:p w14:paraId="632ABD0A" w14:textId="77777777" w:rsidR="00353B85" w:rsidRDefault="00873416" w:rsidP="00353B85">
            <w:pPr>
              <w:pStyle w:val="ListParagraph"/>
              <w:numPr>
                <w:ilvl w:val="1"/>
                <w:numId w:val="16"/>
              </w:numPr>
              <w:ind w:left="1309" w:hanging="229"/>
              <w:rPr>
                <w:lang w:val="en-GB"/>
              </w:rPr>
            </w:pPr>
            <w:r w:rsidRPr="00353B85">
              <w:rPr>
                <w:lang w:val="en-GB"/>
              </w:rPr>
              <w:t xml:space="preserve">the speed and direction of </w:t>
            </w:r>
            <w:r w:rsidR="00E676C7" w:rsidRPr="00353B85">
              <w:rPr>
                <w:lang w:val="en-GB"/>
              </w:rPr>
              <w:t>innovation</w:t>
            </w:r>
            <w:r w:rsidR="00BB1564" w:rsidRPr="00353B85">
              <w:rPr>
                <w:lang w:val="en-GB"/>
              </w:rPr>
              <w:t xml:space="preserve"> and</w:t>
            </w:r>
          </w:p>
          <w:p w14:paraId="0DA28E1A" w14:textId="42757FE7" w:rsidR="00E676C7" w:rsidRPr="00353B85" w:rsidRDefault="00BB1564" w:rsidP="00353B85">
            <w:pPr>
              <w:pStyle w:val="ListParagraph"/>
              <w:numPr>
                <w:ilvl w:val="1"/>
                <w:numId w:val="16"/>
              </w:numPr>
              <w:ind w:left="1309" w:hanging="229"/>
              <w:rPr>
                <w:lang w:val="en-GB"/>
              </w:rPr>
            </w:pPr>
            <w:r w:rsidRPr="00353B85">
              <w:rPr>
                <w:lang w:val="en-GB"/>
              </w:rPr>
              <w:t>social welfare</w:t>
            </w:r>
            <w:r w:rsidR="006A5223" w:rsidRPr="00353B85">
              <w:rPr>
                <w:lang w:val="en-GB"/>
              </w:rPr>
              <w:t>.</w:t>
            </w:r>
          </w:p>
          <w:p w14:paraId="58B9F7D5" w14:textId="0395513E" w:rsidR="006A5223" w:rsidRPr="006A5223" w:rsidRDefault="006A5223" w:rsidP="006A5223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6A5223">
              <w:rPr>
                <w:lang w:val="en-GB"/>
              </w:rPr>
              <w:t>Analyse dominant firms</w:t>
            </w:r>
            <w:r w:rsidR="00F440E9">
              <w:rPr>
                <w:lang w:val="en-GB"/>
              </w:rPr>
              <w:t>’ incentives</w:t>
            </w:r>
            <w:r w:rsidRPr="006A5223">
              <w:rPr>
                <w:lang w:val="en-GB"/>
              </w:rPr>
              <w:t xml:space="preserve"> to bring acquired research projects to market </w:t>
            </w:r>
            <w:r w:rsidR="00B119D7">
              <w:rPr>
                <w:lang w:val="en-GB"/>
              </w:rPr>
              <w:t>or</w:t>
            </w:r>
            <w:r w:rsidRPr="006A5223">
              <w:rPr>
                <w:lang w:val="en-GB"/>
              </w:rPr>
              <w:t xml:space="preserve"> to cancel them (‘killer acquisitions’)</w:t>
            </w:r>
            <w:r>
              <w:rPr>
                <w:lang w:val="en-GB"/>
              </w:rPr>
              <w:t>.</w:t>
            </w:r>
          </w:p>
          <w:p w14:paraId="78CD0691" w14:textId="492CAEA6" w:rsidR="00C72E1F" w:rsidRPr="00E676C7" w:rsidRDefault="00C72E1F" w:rsidP="00745670"/>
          <w:p w14:paraId="44B6491B" w14:textId="4F015242" w:rsidR="003D3C9F" w:rsidRPr="003732CC" w:rsidRDefault="00B12452" w:rsidP="00745670">
            <w:r>
              <w:lastRenderedPageBreak/>
              <w:t>T</w:t>
            </w:r>
            <w:r w:rsidR="003F7280" w:rsidRPr="00E676C7">
              <w:t xml:space="preserve">hese research </w:t>
            </w:r>
            <w:r w:rsidR="003D3C9F">
              <w:t>objectives</w:t>
            </w:r>
            <w:r w:rsidR="003F7280" w:rsidRPr="00E676C7">
              <w:t xml:space="preserve"> </w:t>
            </w:r>
            <w:r w:rsidR="003D3C9F">
              <w:t xml:space="preserve">are closely </w:t>
            </w:r>
            <w:r>
              <w:t>linked</w:t>
            </w:r>
            <w:r w:rsidR="003D3C9F">
              <w:t xml:space="preserve"> to </w:t>
            </w:r>
            <w:r w:rsidR="00D47207" w:rsidRPr="00D47207">
              <w:rPr>
                <w:color w:val="auto"/>
              </w:rPr>
              <w:t xml:space="preserve">ongoing </w:t>
            </w:r>
            <w:r w:rsidR="00CB53D4" w:rsidRPr="00D47207">
              <w:rPr>
                <w:color w:val="auto"/>
              </w:rPr>
              <w:t>US and Europe</w:t>
            </w:r>
            <w:r w:rsidR="00D47207" w:rsidRPr="00D47207">
              <w:rPr>
                <w:color w:val="auto"/>
              </w:rPr>
              <w:t>an</w:t>
            </w:r>
            <w:r w:rsidR="00CB53D4" w:rsidRPr="00D47207">
              <w:rPr>
                <w:color w:val="auto"/>
              </w:rPr>
              <w:t xml:space="preserve"> </w:t>
            </w:r>
            <w:r w:rsidR="003D3C9F" w:rsidRPr="00D47207">
              <w:rPr>
                <w:color w:val="auto"/>
              </w:rPr>
              <w:t xml:space="preserve">legislative </w:t>
            </w:r>
            <w:r w:rsidR="00873416">
              <w:t xml:space="preserve">efforts </w:t>
            </w:r>
            <w:r>
              <w:t xml:space="preserve">aiming to regulate the conduct of </w:t>
            </w:r>
            <w:r w:rsidR="003D3C9F">
              <w:t xml:space="preserve">GAFAM </w:t>
            </w:r>
            <w:r w:rsidR="00873416">
              <w:t>(</w:t>
            </w:r>
            <w:r w:rsidRPr="00D47207">
              <w:rPr>
                <w:color w:val="auto"/>
              </w:rPr>
              <w:t>e.g.</w:t>
            </w:r>
            <w:r w:rsidR="004B70EF" w:rsidRPr="00D47207">
              <w:rPr>
                <w:color w:val="auto"/>
              </w:rPr>
              <w:t>,</w:t>
            </w:r>
            <w:r w:rsidRPr="00D47207">
              <w:rPr>
                <w:color w:val="auto"/>
              </w:rPr>
              <w:t xml:space="preserve"> the </w:t>
            </w:r>
            <w:r w:rsidR="00873416" w:rsidRPr="00D47207">
              <w:rPr>
                <w:color w:val="auto"/>
              </w:rPr>
              <w:t>EU Digital</w:t>
            </w:r>
            <w:r w:rsidR="00911490" w:rsidRPr="00D47207">
              <w:rPr>
                <w:color w:val="auto"/>
              </w:rPr>
              <w:t xml:space="preserve"> </w:t>
            </w:r>
            <w:r w:rsidR="00873416" w:rsidRPr="00D47207">
              <w:rPr>
                <w:color w:val="auto"/>
              </w:rPr>
              <w:t>Markets</w:t>
            </w:r>
            <w:r w:rsidR="00911490" w:rsidRPr="00D47207">
              <w:rPr>
                <w:color w:val="auto"/>
              </w:rPr>
              <w:t xml:space="preserve"> </w:t>
            </w:r>
            <w:r w:rsidR="00873416" w:rsidRPr="00D47207">
              <w:rPr>
                <w:color w:val="auto"/>
              </w:rPr>
              <w:t>Act</w:t>
            </w:r>
            <w:r w:rsidRPr="00D47207">
              <w:rPr>
                <w:color w:val="auto"/>
              </w:rPr>
              <w:t xml:space="preserve"> and the </w:t>
            </w:r>
            <w:r w:rsidR="003D3C9F" w:rsidRPr="00D47207">
              <w:rPr>
                <w:color w:val="auto"/>
              </w:rPr>
              <w:t>American Innovation</w:t>
            </w:r>
            <w:r w:rsidR="00911490" w:rsidRPr="00D47207">
              <w:rPr>
                <w:color w:val="auto"/>
              </w:rPr>
              <w:t xml:space="preserve"> </w:t>
            </w:r>
            <w:r w:rsidR="003D3C9F" w:rsidRPr="00D47207">
              <w:rPr>
                <w:color w:val="auto"/>
              </w:rPr>
              <w:t>and</w:t>
            </w:r>
            <w:r w:rsidR="00911490" w:rsidRPr="00D47207">
              <w:rPr>
                <w:color w:val="auto"/>
              </w:rPr>
              <w:t xml:space="preserve"> </w:t>
            </w:r>
            <w:r w:rsidR="003D3C9F" w:rsidRPr="00D47207">
              <w:rPr>
                <w:color w:val="auto"/>
              </w:rPr>
              <w:t>Choice</w:t>
            </w:r>
            <w:r w:rsidR="00911490" w:rsidRPr="00D47207">
              <w:rPr>
                <w:color w:val="auto"/>
              </w:rPr>
              <w:t xml:space="preserve"> </w:t>
            </w:r>
            <w:r w:rsidR="003D3C9F" w:rsidRPr="00D47207">
              <w:rPr>
                <w:color w:val="auto"/>
              </w:rPr>
              <w:t xml:space="preserve">Act). </w:t>
            </w:r>
            <w:r w:rsidR="000A4F11" w:rsidRPr="00D47207">
              <w:rPr>
                <w:color w:val="auto"/>
              </w:rPr>
              <w:t>I</w:t>
            </w:r>
            <w:r w:rsidR="00CB53D4" w:rsidRPr="00D47207">
              <w:rPr>
                <w:color w:val="auto"/>
              </w:rPr>
              <w:t>n line with the University’s</w:t>
            </w:r>
            <w:r w:rsidR="00CB53D4" w:rsidRPr="00D47207">
              <w:rPr>
                <w:b/>
                <w:color w:val="auto"/>
              </w:rPr>
              <w:t xml:space="preserve"> Social Justice </w:t>
            </w:r>
            <w:r w:rsidR="00CB53D4" w:rsidRPr="00D47207">
              <w:rPr>
                <w:color w:val="auto"/>
              </w:rPr>
              <w:t>research theme, t</w:t>
            </w:r>
            <w:r w:rsidR="00353B85" w:rsidRPr="00D47207">
              <w:rPr>
                <w:color w:val="auto"/>
              </w:rPr>
              <w:t>h</w:t>
            </w:r>
            <w:r w:rsidR="00CB53D4" w:rsidRPr="00D47207">
              <w:rPr>
                <w:color w:val="auto"/>
              </w:rPr>
              <w:t>e</w:t>
            </w:r>
            <w:r w:rsidR="00353B85" w:rsidRPr="00D47207">
              <w:rPr>
                <w:color w:val="auto"/>
              </w:rPr>
              <w:t xml:space="preserve"> </w:t>
            </w:r>
            <w:r w:rsidR="00DD6A08" w:rsidRPr="00D47207">
              <w:rPr>
                <w:color w:val="auto"/>
              </w:rPr>
              <w:t>project</w:t>
            </w:r>
            <w:r w:rsidR="00353B85" w:rsidRPr="00D47207">
              <w:rPr>
                <w:color w:val="auto"/>
              </w:rPr>
              <w:t xml:space="preserve"> will aid the design of </w:t>
            </w:r>
            <w:r w:rsidR="003D3C9F" w:rsidRPr="00D47207">
              <w:rPr>
                <w:color w:val="auto"/>
              </w:rPr>
              <w:t xml:space="preserve">policies </w:t>
            </w:r>
            <w:r w:rsidR="00353B85" w:rsidRPr="00D47207">
              <w:rPr>
                <w:color w:val="auto"/>
              </w:rPr>
              <w:t>to</w:t>
            </w:r>
            <w:r w:rsidR="00911490" w:rsidRPr="00D47207">
              <w:rPr>
                <w:color w:val="auto"/>
              </w:rPr>
              <w:t xml:space="preserve"> promote innovation </w:t>
            </w:r>
            <w:r w:rsidR="00911490" w:rsidRPr="003732CC">
              <w:rPr>
                <w:color w:val="auto"/>
              </w:rPr>
              <w:t>and</w:t>
            </w:r>
            <w:r w:rsidR="00353B85" w:rsidRPr="003732CC">
              <w:rPr>
                <w:color w:val="auto"/>
              </w:rPr>
              <w:t xml:space="preserve"> safeguard consumers in digital markets.</w:t>
            </w:r>
            <w:r w:rsidR="00353B85" w:rsidRPr="003732CC">
              <w:rPr>
                <w:color w:val="C00000"/>
              </w:rPr>
              <w:t xml:space="preserve"> </w:t>
            </w:r>
          </w:p>
          <w:p w14:paraId="0B5EED36" w14:textId="2C81312C" w:rsidR="00353B85" w:rsidRPr="003732CC" w:rsidRDefault="00353B85" w:rsidP="00745670"/>
          <w:p w14:paraId="73483DD9" w14:textId="35E84FEB" w:rsidR="00353B85" w:rsidRPr="00D47207" w:rsidRDefault="00D47207" w:rsidP="00B53FA7">
            <w:pPr>
              <w:rPr>
                <w:color w:val="auto"/>
              </w:rPr>
            </w:pPr>
            <w:r w:rsidRPr="003732CC">
              <w:rPr>
                <w:color w:val="auto"/>
              </w:rPr>
              <w:t xml:space="preserve">Economics provides appropriate methodologies </w:t>
            </w:r>
            <w:r w:rsidR="00D05312" w:rsidRPr="003732CC">
              <w:rPr>
                <w:color w:val="auto"/>
              </w:rPr>
              <w:t>to</w:t>
            </w:r>
            <w:r w:rsidR="00B53FA7" w:rsidRPr="003732CC">
              <w:rPr>
                <w:color w:val="auto"/>
              </w:rPr>
              <w:t xml:space="preserve"> </w:t>
            </w:r>
            <w:r w:rsidR="00B119D7" w:rsidRPr="003732CC">
              <w:rPr>
                <w:color w:val="auto"/>
              </w:rPr>
              <w:t>address the</w:t>
            </w:r>
            <w:r w:rsidR="00D05312" w:rsidRPr="003732CC">
              <w:rPr>
                <w:color w:val="auto"/>
              </w:rPr>
              <w:t>se</w:t>
            </w:r>
            <w:r w:rsidR="00B119D7" w:rsidRPr="003732CC">
              <w:rPr>
                <w:color w:val="auto"/>
              </w:rPr>
              <w:t xml:space="preserve"> objectives </w:t>
            </w:r>
            <w:r w:rsidR="00124649" w:rsidRPr="003732CC">
              <w:rPr>
                <w:color w:val="auto"/>
              </w:rPr>
              <w:t>both</w:t>
            </w:r>
            <w:r w:rsidR="00B53FA7" w:rsidRPr="003732CC">
              <w:rPr>
                <w:color w:val="auto"/>
              </w:rPr>
              <w:t xml:space="preserve"> theoretical</w:t>
            </w:r>
            <w:r w:rsidR="00124649" w:rsidRPr="003732CC">
              <w:rPr>
                <w:color w:val="auto"/>
              </w:rPr>
              <w:t>ly</w:t>
            </w:r>
            <w:r w:rsidR="00B53FA7" w:rsidRPr="003732CC">
              <w:rPr>
                <w:color w:val="auto"/>
              </w:rPr>
              <w:t xml:space="preserve"> and empirical</w:t>
            </w:r>
            <w:r w:rsidR="00124649" w:rsidRPr="003732CC">
              <w:rPr>
                <w:color w:val="auto"/>
              </w:rPr>
              <w:t>ly.</w:t>
            </w:r>
            <w:r w:rsidR="00B53FA7" w:rsidRPr="003732CC">
              <w:rPr>
                <w:color w:val="auto"/>
              </w:rPr>
              <w:t xml:space="preserve"> </w:t>
            </w:r>
            <w:r w:rsidR="00124649" w:rsidRPr="003732CC">
              <w:rPr>
                <w:color w:val="auto"/>
              </w:rPr>
              <w:t xml:space="preserve">The </w:t>
            </w:r>
            <w:r w:rsidR="00D05312" w:rsidRPr="003732CC">
              <w:rPr>
                <w:color w:val="auto"/>
              </w:rPr>
              <w:t xml:space="preserve">scope of the project and the topical open questions it addresses support a </w:t>
            </w:r>
            <w:r w:rsidR="00F440E9" w:rsidRPr="003732CC">
              <w:rPr>
                <w:color w:val="auto"/>
              </w:rPr>
              <w:t xml:space="preserve">high- profile PGR research agenda. </w:t>
            </w:r>
            <w:r w:rsidR="00D05312" w:rsidRPr="003732CC">
              <w:rPr>
                <w:color w:val="auto"/>
              </w:rPr>
              <w:t xml:space="preserve"> </w:t>
            </w:r>
            <w:r w:rsidR="00B53FA7" w:rsidRPr="003732CC">
              <w:rPr>
                <w:color w:val="auto"/>
              </w:rPr>
              <w:t>The supervisory team</w:t>
            </w:r>
            <w:r w:rsidR="00B119D7" w:rsidRPr="003732CC">
              <w:rPr>
                <w:color w:val="auto"/>
              </w:rPr>
              <w:t xml:space="preserve"> has publish</w:t>
            </w:r>
            <w:r w:rsidR="00F440E9" w:rsidRPr="003732CC">
              <w:rPr>
                <w:color w:val="auto"/>
              </w:rPr>
              <w:t>ed</w:t>
            </w:r>
            <w:r w:rsidR="00B119D7" w:rsidRPr="003732CC">
              <w:rPr>
                <w:color w:val="auto"/>
              </w:rPr>
              <w:t xml:space="preserve"> </w:t>
            </w:r>
            <w:r w:rsidR="00353B85" w:rsidRPr="003732CC">
              <w:rPr>
                <w:color w:val="auto"/>
              </w:rPr>
              <w:t>4* research outputs</w:t>
            </w:r>
            <w:r w:rsidR="00B119D7" w:rsidRPr="003732CC">
              <w:rPr>
                <w:color w:val="auto"/>
              </w:rPr>
              <w:t xml:space="preserve"> in </w:t>
            </w:r>
            <w:r w:rsidR="00F440E9" w:rsidRPr="003732CC">
              <w:rPr>
                <w:color w:val="auto"/>
              </w:rPr>
              <w:t xml:space="preserve">this and related </w:t>
            </w:r>
            <w:r w:rsidR="00B119D7" w:rsidRPr="003732CC">
              <w:rPr>
                <w:color w:val="auto"/>
              </w:rPr>
              <w:t>area</w:t>
            </w:r>
            <w:r w:rsidR="00F440E9" w:rsidRPr="003732CC">
              <w:rPr>
                <w:color w:val="auto"/>
              </w:rPr>
              <w:t>s</w:t>
            </w:r>
            <w:r w:rsidR="00806041">
              <w:rPr>
                <w:color w:val="auto"/>
              </w:rPr>
              <w:t>,</w:t>
            </w:r>
            <w:r w:rsidR="00B119D7" w:rsidRPr="003732CC">
              <w:rPr>
                <w:color w:val="auto"/>
              </w:rPr>
              <w:t xml:space="preserve"> </w:t>
            </w:r>
            <w:r w:rsidR="00C43D6A" w:rsidRPr="003732CC">
              <w:rPr>
                <w:color w:val="auto"/>
              </w:rPr>
              <w:t>and manag</w:t>
            </w:r>
            <w:r w:rsidR="00911490" w:rsidRPr="003732CC">
              <w:rPr>
                <w:color w:val="auto"/>
              </w:rPr>
              <w:t>ed</w:t>
            </w:r>
            <w:r w:rsidR="00C43D6A" w:rsidRPr="003732CC">
              <w:rPr>
                <w:color w:val="auto"/>
              </w:rPr>
              <w:t xml:space="preserve"> large </w:t>
            </w:r>
            <w:r w:rsidR="00911490" w:rsidRPr="003732CC">
              <w:rPr>
                <w:color w:val="auto"/>
              </w:rPr>
              <w:t xml:space="preserve">empirical </w:t>
            </w:r>
            <w:r w:rsidR="00C43D6A" w:rsidRPr="003732CC">
              <w:rPr>
                <w:color w:val="auto"/>
              </w:rPr>
              <w:t>research projects</w:t>
            </w:r>
            <w:r w:rsidR="00911490" w:rsidRPr="00D47207">
              <w:rPr>
                <w:color w:val="auto"/>
              </w:rPr>
              <w:t xml:space="preserve"> before</w:t>
            </w:r>
            <w:r w:rsidR="00B53FA7" w:rsidRPr="00D47207">
              <w:rPr>
                <w:color w:val="auto"/>
              </w:rPr>
              <w:t xml:space="preserve">. </w:t>
            </w:r>
            <w:r w:rsidR="00353B85" w:rsidRPr="00D47207">
              <w:rPr>
                <w:color w:val="auto"/>
              </w:rPr>
              <w:t>4* research outputs</w:t>
            </w:r>
            <w:r w:rsidR="00911490" w:rsidRPr="00D47207">
              <w:rPr>
                <w:color w:val="auto"/>
              </w:rPr>
              <w:t xml:space="preserve"> are key objectives of the programme.</w:t>
            </w:r>
          </w:p>
          <w:p w14:paraId="3F37C883" w14:textId="77777777" w:rsidR="003D3C9F" w:rsidRPr="00D47207" w:rsidRDefault="003D3C9F" w:rsidP="00745670">
            <w:pPr>
              <w:rPr>
                <w:color w:val="auto"/>
              </w:rPr>
            </w:pPr>
          </w:p>
          <w:p w14:paraId="486296A7" w14:textId="7566AF53" w:rsidR="003D3C9F" w:rsidRDefault="003D3C9F" w:rsidP="003D3C9F">
            <w:r>
              <w:t>The first</w:t>
            </w:r>
            <w:r w:rsidR="003732CC">
              <w:t xml:space="preserve"> (ECR)</w:t>
            </w:r>
            <w:r>
              <w:t xml:space="preserve"> supervisor does not currently supervise a</w:t>
            </w:r>
            <w:r w:rsidR="003732CC">
              <w:t>ny</w:t>
            </w:r>
            <w:r>
              <w:t xml:space="preserve"> PGR student</w:t>
            </w:r>
            <w:r w:rsidR="00F1782C">
              <w:t>s</w:t>
            </w:r>
            <w:r>
              <w:t>.</w:t>
            </w:r>
            <w:r w:rsidR="00777074">
              <w:t xml:space="preserve"> </w:t>
            </w:r>
          </w:p>
          <w:p w14:paraId="07108D12" w14:textId="4D5F2971" w:rsidR="00FA65DC" w:rsidRPr="00E676C7" w:rsidRDefault="00FA65DC" w:rsidP="001C3B43">
            <w:pPr>
              <w:rPr>
                <w:b/>
              </w:rPr>
            </w:pPr>
          </w:p>
        </w:tc>
      </w:tr>
    </w:tbl>
    <w:p w14:paraId="0A4D3174" w14:textId="14CC8A49" w:rsidR="00973B60" w:rsidRDefault="00973B60" w:rsidP="00477FE3">
      <w:pPr>
        <w:spacing w:after="0" w:line="240" w:lineRule="auto"/>
      </w:pPr>
    </w:p>
    <w:p w14:paraId="385876BF" w14:textId="77777777" w:rsidR="00B47DB2" w:rsidRDefault="00B47DB2" w:rsidP="00477FE3">
      <w:pPr>
        <w:spacing w:after="0" w:line="240" w:lineRule="auto"/>
      </w:pPr>
    </w:p>
    <w:p w14:paraId="23C896C3" w14:textId="48D5F203" w:rsidR="00B41381" w:rsidRDefault="00B41381" w:rsidP="00B41381">
      <w:pPr>
        <w:spacing w:after="0" w:line="240" w:lineRule="auto"/>
        <w:ind w:left="98" w:right="567"/>
        <w:rPr>
          <w:b/>
        </w:rPr>
      </w:pPr>
      <w:r w:rsidRPr="00B47DB2">
        <w:rPr>
          <w:b/>
        </w:rPr>
        <w:t>Alignment with</w:t>
      </w:r>
      <w:r>
        <w:rPr>
          <w:b/>
        </w:rPr>
        <w:t xml:space="preserve"> the </w:t>
      </w:r>
      <w:r w:rsidRPr="00B47DB2">
        <w:rPr>
          <w:b/>
        </w:rPr>
        <w:t>School</w:t>
      </w:r>
      <w:r>
        <w:rPr>
          <w:b/>
        </w:rPr>
        <w:t xml:space="preserve"> of Business</w:t>
      </w:r>
      <w:r w:rsidR="00AE44BF">
        <w:rPr>
          <w:b/>
        </w:rPr>
        <w:t xml:space="preserve"> (ULSB)</w:t>
      </w:r>
      <w:r w:rsidRPr="00B47DB2">
        <w:rPr>
          <w:b/>
        </w:rPr>
        <w:t xml:space="preserve"> Strategy</w:t>
      </w:r>
    </w:p>
    <w:p w14:paraId="614C79E6" w14:textId="77777777" w:rsidR="00B41381" w:rsidRDefault="00B41381" w:rsidP="00B41381">
      <w:pPr>
        <w:spacing w:after="0" w:line="240" w:lineRule="auto"/>
        <w:ind w:left="98" w:right="567"/>
        <w:rPr>
          <w:b/>
        </w:rPr>
      </w:pPr>
    </w:p>
    <w:p w14:paraId="4DED5C33" w14:textId="77777777" w:rsidR="00B41381" w:rsidRPr="00BD2D74" w:rsidRDefault="00B41381" w:rsidP="00B41381">
      <w:pPr>
        <w:spacing w:after="0" w:line="240" w:lineRule="auto"/>
        <w:ind w:left="98" w:right="567"/>
      </w:pPr>
      <w:r w:rsidRPr="00BD2D74">
        <w:t xml:space="preserve">This project reinforces </w:t>
      </w:r>
      <w:r>
        <w:t xml:space="preserve">ULSB investments in Industrial </w:t>
      </w:r>
      <w:r w:rsidRPr="00BD2D74">
        <w:t>Organization</w:t>
      </w:r>
      <w:r>
        <w:t xml:space="preserve"> (IO)</w:t>
      </w:r>
      <w:r w:rsidRPr="00BD2D74">
        <w:t xml:space="preserve">, a core field in any leading </w:t>
      </w:r>
      <w:r>
        <w:t>b</w:t>
      </w:r>
      <w:r w:rsidRPr="00BD2D74">
        <w:t xml:space="preserve">usiness </w:t>
      </w:r>
      <w:r>
        <w:t>s</w:t>
      </w:r>
      <w:r w:rsidRPr="00BD2D74">
        <w:t>chool:</w:t>
      </w:r>
    </w:p>
    <w:p w14:paraId="25F6DCBB" w14:textId="77777777" w:rsidR="00B41381" w:rsidRPr="00BD2D74" w:rsidRDefault="00B41381" w:rsidP="00B41381">
      <w:pPr>
        <w:pStyle w:val="ListParagraph"/>
        <w:numPr>
          <w:ilvl w:val="0"/>
          <w:numId w:val="18"/>
        </w:numPr>
        <w:ind w:right="567"/>
      </w:pPr>
      <w:r>
        <w:t xml:space="preserve">one </w:t>
      </w:r>
      <w:r w:rsidRPr="00BD2D74">
        <w:t>full professor appointed and additional posts</w:t>
      </w:r>
      <w:r>
        <w:t xml:space="preserve"> under consideration</w:t>
      </w:r>
      <w:r w:rsidRPr="00BD2D74">
        <w:t xml:space="preserve"> to promote an </w:t>
      </w:r>
      <w:r>
        <w:t xml:space="preserve">IO </w:t>
      </w:r>
      <w:r w:rsidRPr="00BD2D74">
        <w:t>research grouping,</w:t>
      </w:r>
    </w:p>
    <w:p w14:paraId="0A7EC15C" w14:textId="77777777" w:rsidR="00B41381" w:rsidRPr="00BD2D74" w:rsidRDefault="00B41381" w:rsidP="00B41381">
      <w:pPr>
        <w:pStyle w:val="ListParagraph"/>
        <w:numPr>
          <w:ilvl w:val="0"/>
          <w:numId w:val="18"/>
        </w:numPr>
        <w:ind w:right="567"/>
      </w:pPr>
      <w:r w:rsidRPr="00BD2D74">
        <w:t>hosting the 2023-Network-of-Industrial-</w:t>
      </w:r>
      <w:proofErr w:type="gramStart"/>
      <w:r w:rsidRPr="00BD2D74">
        <w:t>Economists</w:t>
      </w:r>
      <w:proofErr w:type="gramEnd"/>
      <w:r w:rsidRPr="00BD2D74">
        <w:t xml:space="preserve"> conference.</w:t>
      </w:r>
    </w:p>
    <w:p w14:paraId="3BCCAE94" w14:textId="77777777" w:rsidR="00B41381" w:rsidRDefault="00B41381" w:rsidP="00B41381">
      <w:pPr>
        <w:spacing w:after="0" w:line="240" w:lineRule="auto"/>
        <w:ind w:left="98" w:right="567"/>
      </w:pPr>
    </w:p>
    <w:p w14:paraId="36523A89" w14:textId="77777777" w:rsidR="00B41381" w:rsidRPr="00BD2D74" w:rsidRDefault="00B41381" w:rsidP="00B41381">
      <w:pPr>
        <w:spacing w:after="0" w:line="240" w:lineRule="auto"/>
        <w:ind w:left="98" w:right="567"/>
      </w:pPr>
      <w:r w:rsidRPr="00BD2D74">
        <w:t xml:space="preserve">Significant impact potential is evidenced by a </w:t>
      </w:r>
      <w:r>
        <w:t>recent</w:t>
      </w:r>
      <w:r w:rsidRPr="00BD2D74">
        <w:t xml:space="preserve"> </w:t>
      </w:r>
      <w:hyperlink r:id="rId13" w:history="1">
        <w:r>
          <w:rPr>
            <w:rStyle w:val="Hyperlink"/>
          </w:rPr>
          <w:t>workshop</w:t>
        </w:r>
      </w:hyperlink>
      <w:r>
        <w:t xml:space="preserve"> </w:t>
      </w:r>
      <w:r w:rsidRPr="00BD2D74">
        <w:t>with large businesses (c.£1bn turnover).</w:t>
      </w:r>
    </w:p>
    <w:p w14:paraId="0B9C5A49" w14:textId="77777777" w:rsidR="00B41381" w:rsidRDefault="00B41381" w:rsidP="00B41381">
      <w:pPr>
        <w:rPr>
          <w:rFonts w:asciiTheme="minorHAnsi" w:eastAsiaTheme="minorHAnsi" w:hAnsiTheme="minorHAnsi" w:cstheme="minorBidi"/>
          <w:color w:val="1F497D"/>
          <w:lang w:eastAsia="en-US"/>
        </w:rPr>
      </w:pPr>
    </w:p>
    <w:p w14:paraId="03309D3C" w14:textId="77777777" w:rsidR="00180AD5" w:rsidRDefault="00180AD5" w:rsidP="00180AD5">
      <w:pPr>
        <w:rPr>
          <w:rFonts w:asciiTheme="minorHAnsi" w:eastAsiaTheme="minorHAnsi" w:hAnsiTheme="minorHAnsi" w:cstheme="minorBidi"/>
          <w:color w:val="1F497D"/>
          <w:lang w:eastAsia="en-US"/>
        </w:rPr>
      </w:pPr>
    </w:p>
    <w:p w14:paraId="74CFADD2" w14:textId="77777777" w:rsidR="00DD3A50" w:rsidRDefault="00DD3A50" w:rsidP="00DD3A50">
      <w:pPr>
        <w:spacing w:after="0" w:line="240" w:lineRule="auto"/>
        <w:ind w:left="142" w:right="566"/>
      </w:pPr>
    </w:p>
    <w:p w14:paraId="38F6CF00" w14:textId="2971AF51" w:rsidR="00B47DB2" w:rsidRDefault="00B47DB2" w:rsidP="00477FE3">
      <w:pPr>
        <w:spacing w:after="0" w:line="240" w:lineRule="auto"/>
        <w:rPr>
          <w:b/>
        </w:rPr>
      </w:pPr>
    </w:p>
    <w:p w14:paraId="372DF6D9" w14:textId="6DE921F5" w:rsidR="00B47DB2" w:rsidRPr="00B47DB2" w:rsidRDefault="00B47DB2" w:rsidP="00477FE3">
      <w:pPr>
        <w:spacing w:after="0" w:line="240" w:lineRule="auto"/>
        <w:rPr>
          <w:b/>
        </w:rPr>
      </w:pPr>
    </w:p>
    <w:sectPr w:rsidR="00B47DB2" w:rsidRPr="00B47DB2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E381" w14:textId="77777777" w:rsidR="006E6127" w:rsidRDefault="006E6127" w:rsidP="006E6127">
      <w:pPr>
        <w:spacing w:after="0" w:line="240" w:lineRule="auto"/>
      </w:pPr>
      <w:r>
        <w:separator/>
      </w:r>
    </w:p>
  </w:endnote>
  <w:endnote w:type="continuationSeparator" w:id="0">
    <w:p w14:paraId="7D8940B7" w14:textId="77777777" w:rsidR="006E6127" w:rsidRDefault="006E6127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B04F" w14:textId="77777777" w:rsidR="006E6127" w:rsidRDefault="006E6127" w:rsidP="006E6127">
      <w:pPr>
        <w:spacing w:after="0" w:line="240" w:lineRule="auto"/>
      </w:pPr>
      <w:r>
        <w:separator/>
      </w:r>
    </w:p>
  </w:footnote>
  <w:footnote w:type="continuationSeparator" w:id="0">
    <w:p w14:paraId="66199298" w14:textId="77777777" w:rsidR="006E6127" w:rsidRDefault="006E6127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5ADD"/>
    <w:multiLevelType w:val="hybridMultilevel"/>
    <w:tmpl w:val="31F29492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302A2"/>
    <w:multiLevelType w:val="hybridMultilevel"/>
    <w:tmpl w:val="70DC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21356"/>
    <w:multiLevelType w:val="hybridMultilevel"/>
    <w:tmpl w:val="196CC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6"/>
  </w:num>
  <w:num w:numId="5">
    <w:abstractNumId w:val="8"/>
  </w:num>
  <w:num w:numId="6">
    <w:abstractNumId w:val="15"/>
  </w:num>
  <w:num w:numId="7">
    <w:abstractNumId w:val="2"/>
  </w:num>
  <w:num w:numId="8">
    <w:abstractNumId w:val="5"/>
  </w:num>
  <w:num w:numId="9">
    <w:abstractNumId w:val="6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27"/>
    <w:rsid w:val="000362E9"/>
    <w:rsid w:val="000A12CD"/>
    <w:rsid w:val="000A4F11"/>
    <w:rsid w:val="000A5FB7"/>
    <w:rsid w:val="000B53E0"/>
    <w:rsid w:val="000D022E"/>
    <w:rsid w:val="000D3A88"/>
    <w:rsid w:val="000D4FBC"/>
    <w:rsid w:val="000E2872"/>
    <w:rsid w:val="000E74CB"/>
    <w:rsid w:val="000F7117"/>
    <w:rsid w:val="0010106D"/>
    <w:rsid w:val="00124649"/>
    <w:rsid w:val="00145DB3"/>
    <w:rsid w:val="00167C0C"/>
    <w:rsid w:val="00180AD5"/>
    <w:rsid w:val="001A7EBB"/>
    <w:rsid w:val="001B577C"/>
    <w:rsid w:val="001C3B43"/>
    <w:rsid w:val="001F535B"/>
    <w:rsid w:val="00295395"/>
    <w:rsid w:val="002C4E1C"/>
    <w:rsid w:val="002C5057"/>
    <w:rsid w:val="002D2457"/>
    <w:rsid w:val="002E7CF8"/>
    <w:rsid w:val="002F5466"/>
    <w:rsid w:val="00310126"/>
    <w:rsid w:val="00325B09"/>
    <w:rsid w:val="00337001"/>
    <w:rsid w:val="003442F5"/>
    <w:rsid w:val="00353B85"/>
    <w:rsid w:val="0035424F"/>
    <w:rsid w:val="003732CC"/>
    <w:rsid w:val="00397A73"/>
    <w:rsid w:val="003A3C98"/>
    <w:rsid w:val="003A7AD7"/>
    <w:rsid w:val="003C78DF"/>
    <w:rsid w:val="003D3C9F"/>
    <w:rsid w:val="003F7280"/>
    <w:rsid w:val="003F7B87"/>
    <w:rsid w:val="004136DD"/>
    <w:rsid w:val="00437B57"/>
    <w:rsid w:val="004625F6"/>
    <w:rsid w:val="00470634"/>
    <w:rsid w:val="00477FE3"/>
    <w:rsid w:val="004A66C0"/>
    <w:rsid w:val="004B70EF"/>
    <w:rsid w:val="004C63D7"/>
    <w:rsid w:val="004C6DE3"/>
    <w:rsid w:val="004E6471"/>
    <w:rsid w:val="00504A1F"/>
    <w:rsid w:val="005149F2"/>
    <w:rsid w:val="00522C7E"/>
    <w:rsid w:val="00572C6D"/>
    <w:rsid w:val="00582BA8"/>
    <w:rsid w:val="005836E7"/>
    <w:rsid w:val="00594E21"/>
    <w:rsid w:val="005D7571"/>
    <w:rsid w:val="006128FC"/>
    <w:rsid w:val="006439B9"/>
    <w:rsid w:val="0066474B"/>
    <w:rsid w:val="00665346"/>
    <w:rsid w:val="0066687C"/>
    <w:rsid w:val="00666D0A"/>
    <w:rsid w:val="00675FF9"/>
    <w:rsid w:val="00676971"/>
    <w:rsid w:val="006A5223"/>
    <w:rsid w:val="006B70DD"/>
    <w:rsid w:val="006E6127"/>
    <w:rsid w:val="006F25A8"/>
    <w:rsid w:val="006F7BAF"/>
    <w:rsid w:val="00710417"/>
    <w:rsid w:val="00710E3A"/>
    <w:rsid w:val="00751EB7"/>
    <w:rsid w:val="0075671F"/>
    <w:rsid w:val="00767E71"/>
    <w:rsid w:val="00777074"/>
    <w:rsid w:val="007B63D9"/>
    <w:rsid w:val="007E1B63"/>
    <w:rsid w:val="007E5905"/>
    <w:rsid w:val="00806041"/>
    <w:rsid w:val="00825D18"/>
    <w:rsid w:val="00830414"/>
    <w:rsid w:val="00841F22"/>
    <w:rsid w:val="00862117"/>
    <w:rsid w:val="00862C2F"/>
    <w:rsid w:val="00862D19"/>
    <w:rsid w:val="008733B4"/>
    <w:rsid w:val="00873416"/>
    <w:rsid w:val="0088062A"/>
    <w:rsid w:val="00890982"/>
    <w:rsid w:val="00892315"/>
    <w:rsid w:val="00894D36"/>
    <w:rsid w:val="00896337"/>
    <w:rsid w:val="008A58A4"/>
    <w:rsid w:val="008D1170"/>
    <w:rsid w:val="008D6E24"/>
    <w:rsid w:val="008F2278"/>
    <w:rsid w:val="008F2AD4"/>
    <w:rsid w:val="00911490"/>
    <w:rsid w:val="00912C2C"/>
    <w:rsid w:val="00960C59"/>
    <w:rsid w:val="00966007"/>
    <w:rsid w:val="00967DCE"/>
    <w:rsid w:val="00973B60"/>
    <w:rsid w:val="009D4DCA"/>
    <w:rsid w:val="009E295F"/>
    <w:rsid w:val="009F1F3E"/>
    <w:rsid w:val="009F3E5F"/>
    <w:rsid w:val="00A03DCD"/>
    <w:rsid w:val="00A324DE"/>
    <w:rsid w:val="00A404E6"/>
    <w:rsid w:val="00A45C8A"/>
    <w:rsid w:val="00AB7918"/>
    <w:rsid w:val="00AE44BF"/>
    <w:rsid w:val="00AF45A7"/>
    <w:rsid w:val="00AF4B84"/>
    <w:rsid w:val="00B01AB4"/>
    <w:rsid w:val="00B119D7"/>
    <w:rsid w:val="00B12452"/>
    <w:rsid w:val="00B36EBC"/>
    <w:rsid w:val="00B41381"/>
    <w:rsid w:val="00B47AF7"/>
    <w:rsid w:val="00B47DB2"/>
    <w:rsid w:val="00B53FA7"/>
    <w:rsid w:val="00B7109A"/>
    <w:rsid w:val="00BA33B5"/>
    <w:rsid w:val="00BB1564"/>
    <w:rsid w:val="00BD2D74"/>
    <w:rsid w:val="00C11A5D"/>
    <w:rsid w:val="00C43D6A"/>
    <w:rsid w:val="00C5031A"/>
    <w:rsid w:val="00C72021"/>
    <w:rsid w:val="00C72E1F"/>
    <w:rsid w:val="00CA052E"/>
    <w:rsid w:val="00CB53D4"/>
    <w:rsid w:val="00D026B5"/>
    <w:rsid w:val="00D05312"/>
    <w:rsid w:val="00D15871"/>
    <w:rsid w:val="00D402FB"/>
    <w:rsid w:val="00D47207"/>
    <w:rsid w:val="00D5202E"/>
    <w:rsid w:val="00D64813"/>
    <w:rsid w:val="00D74FCA"/>
    <w:rsid w:val="00D80C54"/>
    <w:rsid w:val="00DA7D0B"/>
    <w:rsid w:val="00DC13F5"/>
    <w:rsid w:val="00DD3A50"/>
    <w:rsid w:val="00DD6A08"/>
    <w:rsid w:val="00E35C41"/>
    <w:rsid w:val="00E37A87"/>
    <w:rsid w:val="00E46198"/>
    <w:rsid w:val="00E541E4"/>
    <w:rsid w:val="00E676C7"/>
    <w:rsid w:val="00E729F2"/>
    <w:rsid w:val="00E75690"/>
    <w:rsid w:val="00E9570B"/>
    <w:rsid w:val="00ED1E21"/>
    <w:rsid w:val="00EE33EA"/>
    <w:rsid w:val="00EE5B37"/>
    <w:rsid w:val="00EF7466"/>
    <w:rsid w:val="00F1782C"/>
    <w:rsid w:val="00F440E9"/>
    <w:rsid w:val="00F44629"/>
    <w:rsid w:val="00F56631"/>
    <w:rsid w:val="00FA65DC"/>
    <w:rsid w:val="00FC07AE"/>
    <w:rsid w:val="00FC5BA5"/>
    <w:rsid w:val="00FD2782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chartTrackingRefBased/>
  <w15:docId w15:val="{3AA656D5-0CBA-49EE-B944-13969B1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06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949@le.ac.uk" TargetMode="External"/><Relationship Id="rId13" Type="http://schemas.openxmlformats.org/officeDocument/2006/relationships/hyperlink" Target="https://eur03.safelinks.protection.outlook.com/?url=https%3A%2F%2Ffestivalofsocialscience.com%2Fevents%2Fsecure-hardware-adoption-data-sharing-and-the-protection-of-personal-data%2F&amp;data=05%7C01%7Cjacob.seifert%40leicester.ac.uk%7C94bc5d76f0354d4171c508dac1aac557%7Caebecd6a31d44b0195ce8274afe853d9%7C0%7C0%7C638035236440173392%7CUnknown%7CTWFpbGZsb3d8eyJWIjoiMC4wLjAwMDAiLCJQIjoiV2luMzIiLCJBTiI6Ik1haWwiLCJXVCI6Mn0%3D%7C3000%7C%7C%7C&amp;sdata=CuJp%2FdqyeyG4rs2wYlXknzwtcPplGLAUKNR3bLudz3o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tc.gov/news-events/news/press-releases/2021/09/ftc-staff-presents-report-nearly-decade-unreported-acquisitions-biggest-technology-compan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ista.com/statistics/263264/top-companies-in-the-world-by-market-capitaliz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s102@l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rcarlo.Zanchettin@nottingham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F665-EB6E-4E00-AC78-3C6C030F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4</cp:revision>
  <dcterms:created xsi:type="dcterms:W3CDTF">2022-11-21T11:34:00Z</dcterms:created>
  <dcterms:modified xsi:type="dcterms:W3CDTF">2022-11-21T11:53:00Z</dcterms:modified>
</cp:coreProperties>
</file>