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861AC" w14:textId="233AAB71" w:rsidR="008D3C9B" w:rsidRDefault="008D3C9B" w:rsidP="008D3C9B">
      <w:pPr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University of Leicester </w:t>
      </w:r>
    </w:p>
    <w:p w14:paraId="5C67E557" w14:textId="77777777" w:rsidR="008D3C9B" w:rsidRDefault="008D3C9B" w:rsidP="008D3C9B">
      <w:pPr>
        <w:spacing w:line="240" w:lineRule="auto"/>
        <w:rPr>
          <w:rFonts w:ascii="Arial" w:hAnsi="Arial" w:cs="Arial"/>
          <w:b/>
        </w:rPr>
      </w:pPr>
      <w:r>
        <w:rPr>
          <w:rFonts w:cs="Arial"/>
          <w:b/>
        </w:rPr>
        <w:t xml:space="preserve">Future </w:t>
      </w:r>
      <w:proofErr w:type="gramStart"/>
      <w:r>
        <w:rPr>
          <w:rFonts w:cs="Arial"/>
          <w:b/>
        </w:rPr>
        <w:t>50  PhD</w:t>
      </w:r>
      <w:proofErr w:type="gramEnd"/>
      <w:r>
        <w:rPr>
          <w:rFonts w:cs="Arial"/>
          <w:b/>
        </w:rPr>
        <w:t xml:space="preserve"> Scholarship </w:t>
      </w:r>
    </w:p>
    <w:p w14:paraId="5E4F016F" w14:textId="77777777" w:rsidR="00AD2CDE" w:rsidRPr="00AD2CDE" w:rsidRDefault="00AD2CDE" w:rsidP="00AD2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r w:rsidRPr="00AD2CD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9"/>
        <w:gridCol w:w="5787"/>
      </w:tblGrid>
      <w:tr w:rsidR="00AD2CDE" w:rsidRPr="00AD2CDE" w14:paraId="78116243" w14:textId="77777777" w:rsidTr="00AD2CDE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E5E7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Project Reference 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9BF1" w14:textId="5CCB9D65" w:rsidR="00AD2CDE" w:rsidRPr="004A2E2B" w:rsidRDefault="004A2E2B" w:rsidP="00AD2CDE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4A2E2B">
              <w:rPr>
                <w:rFonts w:eastAsia="Times New Roman" w:cstheme="minorHAnsi"/>
                <w:lang w:eastAsia="en-GB"/>
              </w:rPr>
              <w:t>CRIM Neville</w:t>
            </w:r>
          </w:p>
        </w:tc>
      </w:tr>
    </w:tbl>
    <w:p w14:paraId="4DF38BF7" w14:textId="77777777" w:rsidR="00AD2CDE" w:rsidRPr="00AD2CDE" w:rsidRDefault="00AD2CDE" w:rsidP="00AD2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r w:rsidRPr="00AD2CD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8"/>
        <w:gridCol w:w="2746"/>
        <w:gridCol w:w="1820"/>
        <w:gridCol w:w="1252"/>
      </w:tblGrid>
      <w:tr w:rsidR="00AD2CDE" w:rsidRPr="00AD2CDE" w14:paraId="0B8CB1B4" w14:textId="77777777" w:rsidTr="00AD2CDE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D64AA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First Supervisor </w:t>
            </w:r>
          </w:p>
        </w:tc>
        <w:tc>
          <w:tcPr>
            <w:tcW w:w="58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90BF" w14:textId="7A710B77" w:rsidR="00AD2CDE" w:rsidRPr="00AD2CDE" w:rsidRDefault="00AD2CDE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4F54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Dr Lucy Neville</w:t>
            </w:r>
          </w:p>
        </w:tc>
      </w:tr>
      <w:tr w:rsidR="00AD2CDE" w:rsidRPr="00AD2CDE" w14:paraId="14561A11" w14:textId="77777777" w:rsidTr="00AD2CD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9F05A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School/Department </w:t>
            </w:r>
          </w:p>
        </w:tc>
        <w:tc>
          <w:tcPr>
            <w:tcW w:w="58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67BBE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Criminology </w:t>
            </w:r>
          </w:p>
        </w:tc>
      </w:tr>
      <w:tr w:rsidR="00AD2CDE" w:rsidRPr="00AD2CDE" w14:paraId="14966589" w14:textId="77777777" w:rsidTr="00AD2CDE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2C32F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Email 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6C714" w14:textId="59412E0B" w:rsidR="00AD2CDE" w:rsidRPr="00AD2CDE" w:rsidRDefault="00AD2CDE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4F5450" w:rsidRPr="0087320E">
              <w:rPr>
                <w:rFonts w:ascii="Calibri" w:hAnsi="Calibri" w:cs="Calibri"/>
                <w:color w:val="201F1E"/>
              </w:rPr>
              <w:t>lucy.neville@leicester.ac.uk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01E68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Telephone Ext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7B50" w14:textId="465F74CC" w:rsidR="00AD2CDE" w:rsidRPr="00AD2CDE" w:rsidRDefault="00AD2CDE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4F54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3547</w:t>
            </w:r>
          </w:p>
        </w:tc>
      </w:tr>
    </w:tbl>
    <w:p w14:paraId="68C1F875" w14:textId="77777777" w:rsidR="00AD2CDE" w:rsidRPr="00AD2CDE" w:rsidRDefault="00AD2CDE" w:rsidP="00AD2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r w:rsidRPr="00AD2CD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2656"/>
        <w:gridCol w:w="1837"/>
        <w:gridCol w:w="1266"/>
      </w:tblGrid>
      <w:tr w:rsidR="00AD2CDE" w:rsidRPr="00AD2CDE" w14:paraId="280C21E2" w14:textId="77777777" w:rsidTr="00AD2CDE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5897A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Second Supervisor </w:t>
            </w:r>
          </w:p>
        </w:tc>
        <w:tc>
          <w:tcPr>
            <w:tcW w:w="57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F984" w14:textId="525CFFB3" w:rsidR="00AD2CDE" w:rsidRPr="00AD2CDE" w:rsidRDefault="00AD2CDE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4F54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Dr Matt Hopkins</w:t>
            </w:r>
          </w:p>
        </w:tc>
      </w:tr>
      <w:tr w:rsidR="00AD2CDE" w:rsidRPr="00AD2CDE" w14:paraId="33EE0D9E" w14:textId="77777777" w:rsidTr="00AD2CD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A85A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School/Department </w:t>
            </w: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68F2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Criminology </w:t>
            </w:r>
          </w:p>
        </w:tc>
      </w:tr>
      <w:tr w:rsidR="00AD2CDE" w:rsidRPr="00AD2CDE" w14:paraId="4AA54647" w14:textId="77777777" w:rsidTr="00AD2CDE"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D2A0F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Email 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35C1D" w14:textId="34904FC3" w:rsidR="00AD2CDE" w:rsidRPr="0087320E" w:rsidRDefault="00AD2CDE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hyperlink r:id="rId4" w:history="1">
              <w:r w:rsidR="004F5450" w:rsidRPr="00B34767">
                <w:rPr>
                  <w:rStyle w:val="Hyperlink"/>
                  <w:rFonts w:ascii="Calibri" w:eastAsia="Times New Roman" w:hAnsi="Calibri" w:cs="Calibri"/>
                  <w:bdr w:val="none" w:sz="0" w:space="0" w:color="auto" w:frame="1"/>
                  <w:lang w:eastAsia="en-GB"/>
                </w:rPr>
                <w:t>mh330@le.ac.uk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19621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Telephone Ext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68C6" w14:textId="57109079" w:rsidR="00AD2CDE" w:rsidRPr="00AD2CDE" w:rsidRDefault="00AD2CDE" w:rsidP="004F5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4F54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5714</w:t>
            </w:r>
          </w:p>
        </w:tc>
      </w:tr>
    </w:tbl>
    <w:p w14:paraId="4185DD2C" w14:textId="77777777" w:rsidR="00AD2CDE" w:rsidRPr="00AD2CDE" w:rsidRDefault="00AD2CDE" w:rsidP="00AD2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r w:rsidRPr="00AD2CDE">
        <w:rPr>
          <w:rFonts w:ascii="Calibri" w:eastAsia="Times New Roman" w:hAnsi="Calibri" w:cs="Calibri"/>
          <w:color w:val="000000"/>
          <w:bdr w:val="none" w:sz="0" w:space="0" w:color="auto" w:frame="1"/>
          <w:lang w:eastAsia="en-GB"/>
        </w:rPr>
        <w:t> 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2"/>
        <w:gridCol w:w="5764"/>
      </w:tblGrid>
      <w:tr w:rsidR="00AD2CDE" w:rsidRPr="00AD2CDE" w14:paraId="3D24317B" w14:textId="77777777" w:rsidTr="00AD2CDE"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B07C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Additional Supervisor </w:t>
            </w:r>
          </w:p>
        </w:tc>
        <w:tc>
          <w:tcPr>
            <w:tcW w:w="5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542B" w14:textId="77777777" w:rsidR="0087320E" w:rsidRDefault="002B375B" w:rsidP="00873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Prof </w:t>
            </w:r>
            <w:r w:rsidR="0087320E" w:rsidRP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Francisco Figueiredo </w:t>
            </w:r>
          </w:p>
          <w:p w14:paraId="0FDEEEA2" w14:textId="77777777" w:rsidR="0087320E" w:rsidRDefault="0087320E" w:rsidP="0087320E">
            <w:pPr>
              <w:spacing w:after="0" w:line="240" w:lineRule="auto"/>
            </w:pPr>
            <w:r>
              <w:t>Professor of Ophthalmology</w:t>
            </w:r>
            <w:r>
              <w:br/>
              <w:t>Royal Victoria Infirmary</w:t>
            </w:r>
            <w:r>
              <w:br/>
              <w:t>Dept. of Ophthalmology</w:t>
            </w:r>
            <w:r>
              <w:br/>
              <w:t>Newcastle University</w:t>
            </w:r>
          </w:p>
          <w:p w14:paraId="76757DD0" w14:textId="77777777" w:rsidR="0087320E" w:rsidRDefault="0087320E" w:rsidP="00873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</w:p>
          <w:p w14:paraId="146880E9" w14:textId="77777777" w:rsidR="0087320E" w:rsidRDefault="0087320E" w:rsidP="00873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franc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isco.figueiredo@newcastle.ac.uk</w:t>
            </w:r>
          </w:p>
          <w:p w14:paraId="0826374D" w14:textId="77777777" w:rsidR="0087320E" w:rsidRPr="00AD2CDE" w:rsidRDefault="0087320E" w:rsidP="00873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br/>
            </w:r>
          </w:p>
        </w:tc>
      </w:tr>
    </w:tbl>
    <w:p w14:paraId="308B117A" w14:textId="77777777" w:rsidR="00AD2CDE" w:rsidRPr="00AD2CDE" w:rsidRDefault="00AD2CDE" w:rsidP="00AD2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r w:rsidRPr="00AD2CDE">
        <w:rPr>
          <w:rFonts w:ascii="Calibri" w:eastAsia="Times New Roman" w:hAnsi="Calibri" w:cs="Calibri"/>
          <w:b/>
          <w:bCs/>
          <w:color w:val="000000"/>
          <w:u w:val="single"/>
          <w:bdr w:val="none" w:sz="0" w:space="0" w:color="auto" w:frame="1"/>
          <w:lang w:eastAsia="en-GB"/>
        </w:rPr>
        <w:t> </w:t>
      </w:r>
    </w:p>
    <w:p w14:paraId="622A4E55" w14:textId="77777777" w:rsidR="00AD2CDE" w:rsidRPr="00AD2CDE" w:rsidRDefault="00AD2CDE" w:rsidP="00AD2C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  <w:r w:rsidRPr="00AD2CD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en-GB"/>
        </w:rPr>
        <w:t>Section 2 – </w:t>
      </w:r>
      <w:r w:rsidRPr="00AD2CDE">
        <w:rPr>
          <w:rFonts w:ascii="Calibri" w:eastAsia="Times New Roman" w:hAnsi="Calibri" w:cs="Calibri"/>
          <w:b/>
          <w:bCs/>
          <w:i/>
          <w:iCs/>
          <w:color w:val="000000"/>
          <w:bdr w:val="none" w:sz="0" w:space="0" w:color="auto" w:frame="1"/>
          <w:lang w:eastAsia="en-GB"/>
        </w:rPr>
        <w:t>Project Information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433"/>
        <w:gridCol w:w="6595"/>
      </w:tblGrid>
      <w:tr w:rsidR="00AD2CDE" w:rsidRPr="00AD2CDE" w14:paraId="536F2D1C" w14:textId="77777777" w:rsidTr="00AD2CDE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C0AFE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Project Title </w:t>
            </w:r>
          </w:p>
          <w:p w14:paraId="450E6C45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70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C5D2B" w14:textId="7C06D988" w:rsidR="00AD2CDE" w:rsidRPr="00AD2CDE" w:rsidRDefault="009428F2" w:rsidP="00942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Acid attacks</w:t>
            </w:r>
            <w:r w:rsidR="000522D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and survivor e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xperience: Exploring how survivors cope and recover from traumatic crime events  </w:t>
            </w:r>
          </w:p>
        </w:tc>
      </w:tr>
      <w:tr w:rsidR="00AD2CDE" w:rsidRPr="00AD2CDE" w14:paraId="4DBA052D" w14:textId="77777777" w:rsidTr="00AD2CDE">
        <w:tc>
          <w:tcPr>
            <w:tcW w:w="1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279FD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Project Highlights: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ED18D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1. 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E4C3" w14:textId="33CB501A" w:rsidR="00AD2CDE" w:rsidRPr="00AD2CDE" w:rsidRDefault="00AD2CDE" w:rsidP="004B0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Althoug</w:t>
            </w:r>
            <w:r w:rsidR="00CC20B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</w:t>
            </w:r>
            <w:r w:rsidR="00CF425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the proposed supervisors have written extensively on </w:t>
            </w:r>
            <w:r w:rsidR="006B7BE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the contexts and motivations for the use of acid in crime events </w:t>
            </w:r>
            <w:r w:rsidR="00CF4257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(see Hopkins et al., 2021; Neville et al., 2022)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, no known academic studies have conducted systematic research with survivors of corrosive substance crime (acid attacks).  The</w:t>
            </w:r>
            <w:r w:rsidR="006B7BE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refore, the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project would </w:t>
            </w:r>
            <w:r w:rsidR="006B7BE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not only build on existing work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, </w:t>
            </w:r>
            <w:r w:rsidR="006B7BE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it would 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fill a gap in the research, 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be novel and ground-breaking. </w:t>
            </w:r>
            <w:r w:rsidR="004F54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It would also have the potential to yield recommendations and outputs that could have an impact on the experience of survivors. 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 </w:t>
            </w:r>
          </w:p>
        </w:tc>
      </w:tr>
      <w:tr w:rsidR="00AD2CDE" w:rsidRPr="00AD2CDE" w14:paraId="67600C02" w14:textId="77777777" w:rsidTr="00AD2C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655E3F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D7AFD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2. 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42F87" w14:textId="77777777" w:rsidR="00AD2CDE" w:rsidRPr="00AD2CDE" w:rsidRDefault="00AD2CDE" w:rsidP="0067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The project would use creative methodologies with survivors – including photovoice and art-based fieldwork – this would not only be appropriate for this sample group, but 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this would be the first time such methods have been used with this group. This could potentially yield a range of exciting project outputs. 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 </w:t>
            </w:r>
          </w:p>
        </w:tc>
      </w:tr>
      <w:tr w:rsidR="00AD2CDE" w:rsidRPr="00AD2CDE" w14:paraId="3167D6F1" w14:textId="77777777" w:rsidTr="00AD2CD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B98AE1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1D7FD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3. </w:t>
            </w:r>
          </w:p>
        </w:tc>
        <w:tc>
          <w:tcPr>
            <w:tcW w:w="6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80796" w14:textId="0DEC99C1" w:rsidR="00AD2CDE" w:rsidRPr="00674004" w:rsidRDefault="00AD2CDE" w:rsidP="008732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The project would be in pa</w:t>
            </w:r>
            <w:r w:rsidR="004F545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rtnership with the Royal Victoria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Hospital, Newcastle. </w:t>
            </w:r>
            <w:r w:rsid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The hospital has an ophthalmology 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unit that specialises</w:t>
            </w:r>
            <w:r w:rsidR="000A46B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in burns</w:t>
            </w:r>
            <w:r w:rsidR="00111B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0A46B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/ eye injuries and t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he proposed additional supervisor 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(Prof </w:t>
            </w:r>
            <w:r w:rsidR="00674004" w:rsidRP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Francisco Figueiredo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)</w:t>
            </w:r>
            <w:r w:rsidR="00674004" w:rsidRP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is a leading 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ophthalmologist</w:t>
            </w:r>
            <w:r w:rsidR="000A46B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. The hospital</w:t>
            </w:r>
            <w:r w:rsidR="0067400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, through Prof Francisco Figueiredo, </w:t>
            </w:r>
            <w:r w:rsidR="000A46B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is able to provide access to this hard</w:t>
            </w:r>
            <w:r w:rsidR="00111B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-</w:t>
            </w:r>
            <w:r w:rsidR="000A46B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to</w:t>
            </w:r>
            <w:r w:rsidR="00111B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-</w:t>
            </w:r>
            <w:r w:rsidR="000A46B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reach group. </w:t>
            </w:r>
            <w:r w:rsidR="002B375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</w:p>
        </w:tc>
      </w:tr>
      <w:tr w:rsidR="00AD2CDE" w:rsidRPr="00AD2CDE" w14:paraId="5AE153DB" w14:textId="77777777" w:rsidTr="00AD2CDE">
        <w:tc>
          <w:tcPr>
            <w:tcW w:w="90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A008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Project Summary </w:t>
            </w:r>
            <w:r w:rsidRPr="00AD2CD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  <w:tr w:rsidR="00AD2CDE" w:rsidRPr="00AD2CDE" w14:paraId="6CA5EA5C" w14:textId="77777777" w:rsidTr="00AD2CDE">
        <w:tc>
          <w:tcPr>
            <w:tcW w:w="901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AE9A1" w14:textId="77777777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  <w:p w14:paraId="67C17CA2" w14:textId="66875308" w:rsidR="00AD2CDE" w:rsidRDefault="004F5450" w:rsidP="00AD2CD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This project is proposed by the Centre for Hate Studies (Violence Hub)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. Its aims tie in with the core mission of the centre, especially transforming responses to violence and a commitment to 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lastRenderedPageBreak/>
              <w:t xml:space="preserve">evidence-based public health approaches. </w:t>
            </w:r>
            <w:r w:rsidR="000A46B3" w:rsidRP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This 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is </w:t>
            </w:r>
            <w:r w:rsidR="00084EB6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a </w:t>
            </w:r>
            <w:r w:rsidR="000A46B3" w:rsidRP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unique opportunity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for a </w:t>
            </w:r>
            <w:r w:rsidR="005E5C6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Postgraduate Researcher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to conduct a ground-breaking project that </w:t>
            </w:r>
            <w:r w:rsidR="002E30A5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will not only generate</w:t>
            </w:r>
            <w:r w:rsidR="00084EB6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world leading 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academic</w:t>
            </w:r>
            <w:r w:rsidR="00084EB6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outputs, but also have a practical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impact on the lives of survivors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– possibly changing the support that survivors are able to access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. </w:t>
            </w:r>
            <w:r w:rsidR="006C52D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The proposed supervisors have previously noted 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there is</w:t>
            </w:r>
            <w:r w:rsidR="00242F7D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some literature on the spatial/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te</w:t>
            </w:r>
            <w:r w:rsid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mporal contexts of acid attacks,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the </w:t>
            </w:r>
            <w:r w:rsidR="005E5C6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demographic 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characteri</w:t>
            </w:r>
            <w:r w:rsid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stics of survivors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and the motivations of perpetrators (</w:t>
            </w:r>
            <w:r w:rsidR="005C6B2B" w:rsidRP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see H</w:t>
            </w:r>
            <w:r w:rsid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opkins et al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.</w:t>
            </w:r>
            <w:r w:rsid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, 2021; Neville et al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.</w:t>
            </w:r>
            <w:r w:rsid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, 2022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), </w:t>
            </w:r>
            <w:r w:rsidR="006C52D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but no systematic studies have f</w:t>
            </w:r>
            <w:r w:rsidR="002E30A5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ocused on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2E30A5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the experience of </w:t>
            </w:r>
            <w:r w:rsidR="000A46B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survivors. </w:t>
            </w:r>
            <w:r w:rsidR="00544F4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The project would </w:t>
            </w:r>
            <w:r w:rsidR="00242F7D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address this by researching</w:t>
            </w:r>
            <w:r w:rsidR="00544F4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the experiences of </w:t>
            </w:r>
            <w:r w:rsidR="00242F7D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acid</w:t>
            </w:r>
            <w:r w:rsidR="00544F4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attack survivors, with a focus </w:t>
            </w:r>
            <w:r w:rsidR="002E30A5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on </w:t>
            </w:r>
            <w:r w:rsidR="004B787C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harms, </w:t>
            </w:r>
            <w:r w:rsidR="00544F4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lived experience, impact on everyday lives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,</w:t>
            </w:r>
            <w:r w:rsidR="00544F4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and coping strategies.   </w:t>
            </w:r>
            <w:r w:rsidR="004546A0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Access to a sample would be achieved in partnership with 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the </w:t>
            </w:r>
            <w:r w:rsidR="004546A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Newcastle 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Royal Victoria Hospital</w:t>
            </w:r>
            <w:r w:rsidR="00111B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,</w:t>
            </w:r>
            <w:r w:rsidR="004546A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where 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many survivors access treatment with leading ophthalmologist Prof</w:t>
            </w:r>
            <w:r w:rsidR="002E30A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essor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B787C" w:rsidRP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Figueiredo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ophthalmology department at Newcastle treats patients from across the UK, ensuring that a national sample group could be achieved. 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</w:t>
            </w:r>
            <w:r w:rsidR="00867F3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atient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s contacted through</w:t>
            </w:r>
            <w:r w:rsidR="00867F39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Prof</w:t>
            </w:r>
            <w:r w:rsidR="002E30A5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essor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B787C" w:rsidRPr="0087320E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Figueiredo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546A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would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participate in the study through </w:t>
            </w:r>
            <w:r w:rsidR="004546A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engaging in 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the use of 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creative methods – such as photovoice or art</w:t>
            </w:r>
            <w:r w:rsidR="00111BF4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-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base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d </w:t>
            </w:r>
            <w:r w:rsidR="004546A0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fieldwork</w:t>
            </w:r>
            <w:r w:rsidR="005C6B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(see Fitzgibbon, 2022)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. The key to the fieldwork would be to engage with survivors in ways t</w:t>
            </w:r>
            <w:r w:rsidR="00CC20B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hat limit further trauma</w:t>
            </w:r>
            <w:r w:rsidR="00242F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,</w:t>
            </w:r>
            <w:r w:rsidR="00CC20B2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242F7D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ensuring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4B787C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that participation can be viewed </w:t>
            </w:r>
            <w:r w:rsidR="005C6B2B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>as a positive experience</w:t>
            </w:r>
            <w:r w:rsidR="00544F4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GB"/>
              </w:rPr>
              <w:t xml:space="preserve">.    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We recognise the project will 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have to engage with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ethical challenges. However, the supervisory team are all experienced at working in this field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;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and 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have knowledge</w:t>
            </w:r>
            <w:r w:rsidR="00544F4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of the appropriate methods, 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the emotional labour involved in such research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,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and of university</w:t>
            </w:r>
            <w:r w:rsidR="00111BF4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/</w:t>
            </w:r>
            <w:r w:rsidR="00484F33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NHS ethics processes.  </w:t>
            </w:r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The </w:t>
            </w:r>
            <w:proofErr w:type="spellStart"/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UoL</w:t>
            </w:r>
            <w:proofErr w:type="spellEnd"/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team </w:t>
            </w:r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will be led by 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Dr Lucy Neville, an early</w:t>
            </w:r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career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researcher</w:t>
            </w:r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who will be support</w:t>
            </w:r>
            <w:r w:rsidR="00242F7D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ed</w:t>
            </w:r>
            <w:r w:rsidR="00CC20B2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by Matt Hopkins, who has a wealth of supervisory experience</w:t>
            </w:r>
            <w:r w:rsidR="003F166F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.  </w:t>
            </w:r>
            <w:r w:rsidR="004546A0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Overall, the supervisory team feel this is an under-researched area with huge potential for international impact. Thus, </w:t>
            </w:r>
            <w:r w:rsidR="005C6B2B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>the case for F50 funding is</w:t>
            </w:r>
            <w:r w:rsidR="004546A0">
              <w:rPr>
                <w:rFonts w:ascii="Calibri" w:eastAsia="Times New Roman" w:hAnsi="Calibri" w:cs="Calibri"/>
                <w:bCs/>
                <w:color w:val="000000"/>
                <w:bdr w:val="none" w:sz="0" w:space="0" w:color="auto" w:frame="1"/>
                <w:lang w:eastAsia="en-GB"/>
              </w:rPr>
              <w:t xml:space="preserve"> well merited. </w:t>
            </w:r>
          </w:p>
          <w:p w14:paraId="51CE2673" w14:textId="4A501FEE" w:rsidR="00AD2CDE" w:rsidRPr="00AD2CDE" w:rsidRDefault="00AD2CDE" w:rsidP="00AD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D2CDE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GB"/>
              </w:rPr>
              <w:t> </w:t>
            </w:r>
          </w:p>
        </w:tc>
      </w:tr>
    </w:tbl>
    <w:p w14:paraId="341CAA6F" w14:textId="7BED967D" w:rsidR="00DF09F9" w:rsidRDefault="00390A92" w:rsidP="00AD2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  <w:lang w:eastAsia="en-GB"/>
        </w:rPr>
      </w:pPr>
    </w:p>
    <w:p w14:paraId="64B332A4" w14:textId="2D05F9D6" w:rsidR="00703CB7" w:rsidRDefault="00703CB7" w:rsidP="00AD2CDE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en-GB"/>
        </w:rPr>
      </w:pPr>
      <w:r>
        <w:rPr>
          <w:rFonts w:eastAsia="Times New Roman" w:cstheme="minorHAnsi"/>
          <w:color w:val="242424"/>
          <w:sz w:val="24"/>
          <w:szCs w:val="24"/>
          <w:lang w:eastAsia="en-GB"/>
        </w:rPr>
        <w:t xml:space="preserve">Supervisory Team: Relevant publications </w:t>
      </w:r>
    </w:p>
    <w:p w14:paraId="4042162B" w14:textId="4259414B" w:rsidR="00703CB7" w:rsidRDefault="00703CB7" w:rsidP="00AD2CDE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en-GB"/>
        </w:rPr>
      </w:pPr>
    </w:p>
    <w:p w14:paraId="6F623C68" w14:textId="77777777" w:rsidR="00703CB7" w:rsidRPr="00703CB7" w:rsidRDefault="00703CB7" w:rsidP="00703CB7">
      <w:pPr>
        <w:autoSpaceDE w:val="0"/>
        <w:autoSpaceDN w:val="0"/>
        <w:adjustRightInd w:val="0"/>
        <w:jc w:val="both"/>
        <w:rPr>
          <w:rFonts w:cstheme="minorHAnsi"/>
        </w:rPr>
      </w:pPr>
      <w:r w:rsidRPr="00703CB7">
        <w:rPr>
          <w:rFonts w:cstheme="minorHAnsi"/>
        </w:rPr>
        <w:t xml:space="preserve">Hopkins, M., Neville, L. and Sanders, T. (2021). </w:t>
      </w:r>
      <w:r w:rsidRPr="00703CB7">
        <w:rPr>
          <w:rFonts w:cstheme="minorHAnsi"/>
          <w:i/>
        </w:rPr>
        <w:t>Acid Crime: Context, Motivation and Prevention.</w:t>
      </w:r>
      <w:r w:rsidRPr="00703CB7">
        <w:rPr>
          <w:rFonts w:cstheme="minorHAnsi"/>
        </w:rPr>
        <w:t xml:space="preserve"> Palgrave MacMillan. </w:t>
      </w:r>
      <w:hyperlink r:id="rId5" w:history="1">
        <w:r w:rsidRPr="00703CB7">
          <w:rPr>
            <w:rStyle w:val="Hyperlink"/>
            <w:rFonts w:cstheme="minorHAnsi"/>
          </w:rPr>
          <w:t>https://www.palgrave.com/gp/book/9783030622954</w:t>
        </w:r>
      </w:hyperlink>
    </w:p>
    <w:p w14:paraId="63B40A52" w14:textId="77777777" w:rsidR="00703CB7" w:rsidRPr="00703CB7" w:rsidRDefault="00703CB7" w:rsidP="00703CB7">
      <w:pPr>
        <w:rPr>
          <w:rStyle w:val="eop"/>
          <w:rFonts w:cstheme="minorHAnsi"/>
          <w:color w:val="000000"/>
          <w:shd w:val="clear" w:color="auto" w:fill="FFFFFF"/>
        </w:rPr>
      </w:pPr>
      <w:r w:rsidRPr="00703CB7">
        <w:rPr>
          <w:rStyle w:val="normaltextrun"/>
          <w:rFonts w:cstheme="minorHAnsi"/>
          <w:color w:val="000000"/>
          <w:shd w:val="clear" w:color="auto" w:fill="FFFFFF"/>
        </w:rPr>
        <w:t>Neville, L., Hopkins, M. &amp; Sanders, T. (2022). ‘Acid Attacks’. In P. Ali &amp; M.M. Rogers (eds.), ‘</w:t>
      </w:r>
      <w:r w:rsidRPr="00703CB7">
        <w:rPr>
          <w:rStyle w:val="normaltextrun"/>
          <w:rFonts w:cstheme="minorHAnsi"/>
          <w:i/>
          <w:iCs/>
          <w:color w:val="000000"/>
          <w:shd w:val="clear" w:color="auto" w:fill="FFFFFF"/>
        </w:rPr>
        <w:t>A comprehensive guide to gender-based violence’</w:t>
      </w:r>
      <w:r w:rsidRPr="00703CB7">
        <w:rPr>
          <w:rStyle w:val="normaltextrun"/>
          <w:rFonts w:cstheme="minorHAnsi"/>
          <w:color w:val="000000"/>
          <w:shd w:val="clear" w:color="auto" w:fill="FFFFFF"/>
        </w:rPr>
        <w:t>. Springer Nature.</w:t>
      </w:r>
      <w:r w:rsidRPr="00703CB7">
        <w:rPr>
          <w:rStyle w:val="eop"/>
          <w:rFonts w:cstheme="minorHAnsi"/>
          <w:color w:val="000000"/>
          <w:shd w:val="clear" w:color="auto" w:fill="FFFFFF"/>
        </w:rPr>
        <w:t> </w:t>
      </w:r>
    </w:p>
    <w:p w14:paraId="752AB3A2" w14:textId="77777777" w:rsidR="00703CB7" w:rsidRPr="00703CB7" w:rsidRDefault="00703CB7" w:rsidP="00AD2CDE">
      <w:pPr>
        <w:shd w:val="clear" w:color="auto" w:fill="FFFFFF"/>
        <w:spacing w:after="0" w:line="240" w:lineRule="auto"/>
        <w:rPr>
          <w:rFonts w:eastAsia="Times New Roman" w:cstheme="minorHAnsi"/>
          <w:color w:val="242424"/>
          <w:sz w:val="24"/>
          <w:szCs w:val="24"/>
          <w:lang w:eastAsia="en-GB"/>
        </w:rPr>
      </w:pPr>
    </w:p>
    <w:sectPr w:rsidR="00703CB7" w:rsidRPr="00703C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DE"/>
    <w:rsid w:val="000522DD"/>
    <w:rsid w:val="00084EB6"/>
    <w:rsid w:val="000A46B3"/>
    <w:rsid w:val="00111BF4"/>
    <w:rsid w:val="00154DED"/>
    <w:rsid w:val="001B0CB8"/>
    <w:rsid w:val="00242F7D"/>
    <w:rsid w:val="002B375B"/>
    <w:rsid w:val="002E30A5"/>
    <w:rsid w:val="00390A92"/>
    <w:rsid w:val="003F166F"/>
    <w:rsid w:val="004546A0"/>
    <w:rsid w:val="00484F33"/>
    <w:rsid w:val="004A2E2B"/>
    <w:rsid w:val="004B0BCE"/>
    <w:rsid w:val="004B787C"/>
    <w:rsid w:val="004F5450"/>
    <w:rsid w:val="00544F43"/>
    <w:rsid w:val="005A208F"/>
    <w:rsid w:val="005C6B2B"/>
    <w:rsid w:val="005E5C63"/>
    <w:rsid w:val="00647B50"/>
    <w:rsid w:val="0065594A"/>
    <w:rsid w:val="00674004"/>
    <w:rsid w:val="006B7BE4"/>
    <w:rsid w:val="006C52D3"/>
    <w:rsid w:val="006E4A28"/>
    <w:rsid w:val="00703CB7"/>
    <w:rsid w:val="007F6416"/>
    <w:rsid w:val="00867F39"/>
    <w:rsid w:val="0087320E"/>
    <w:rsid w:val="008D3C9B"/>
    <w:rsid w:val="009428F2"/>
    <w:rsid w:val="00AD2CDE"/>
    <w:rsid w:val="00B451AE"/>
    <w:rsid w:val="00BE45E7"/>
    <w:rsid w:val="00C122BC"/>
    <w:rsid w:val="00C9364D"/>
    <w:rsid w:val="00CC20B2"/>
    <w:rsid w:val="00CF4257"/>
    <w:rsid w:val="00E0050F"/>
    <w:rsid w:val="00E33669"/>
    <w:rsid w:val="00E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4FF0"/>
  <w15:chartTrackingRefBased/>
  <w15:docId w15:val="{F1679334-EE50-4016-AD2B-7CD62F55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20E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703CB7"/>
  </w:style>
  <w:style w:type="character" w:customStyle="1" w:styleId="eop">
    <w:name w:val="eop"/>
    <w:basedOn w:val="DefaultParagraphFont"/>
    <w:rsid w:val="00703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6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lgrave.com/gp/book/9783030622954" TargetMode="External"/><Relationship Id="rId4" Type="http://schemas.openxmlformats.org/officeDocument/2006/relationships/hyperlink" Target="mailto:mh330@l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Hopkins, Matt (Dr.)</dc:creator>
  <cp:keywords/>
  <dc:description/>
  <cp:lastModifiedBy>White, Karen L.</cp:lastModifiedBy>
  <cp:revision>6</cp:revision>
  <dcterms:created xsi:type="dcterms:W3CDTF">2022-11-21T11:45:00Z</dcterms:created>
  <dcterms:modified xsi:type="dcterms:W3CDTF">2022-11-21T11:55:00Z</dcterms:modified>
</cp:coreProperties>
</file>