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C454" w14:textId="77777777" w:rsidR="00443D52" w:rsidRDefault="00443D52" w:rsidP="00443D52">
      <w:pPr>
        <w:spacing w:line="240" w:lineRule="auto"/>
        <w:rPr>
          <w:rFonts w:cs="Arial"/>
          <w:b/>
        </w:rPr>
      </w:pPr>
      <w:r>
        <w:rPr>
          <w:rFonts w:cs="Arial"/>
          <w:b/>
        </w:rPr>
        <w:t xml:space="preserve">University of Leicester </w:t>
      </w:r>
    </w:p>
    <w:p w14:paraId="6437A94C" w14:textId="77777777" w:rsidR="00443D52" w:rsidRDefault="00443D52" w:rsidP="00443D52">
      <w:pPr>
        <w:spacing w:line="240" w:lineRule="auto"/>
        <w:rPr>
          <w:rFonts w:ascii="Arial" w:eastAsiaTheme="minorHAnsi" w:hAnsi="Arial" w:cs="Arial"/>
          <w:b/>
          <w:color w:val="auto"/>
        </w:rPr>
      </w:pPr>
      <w:r>
        <w:rPr>
          <w:rFonts w:cs="Arial"/>
          <w:b/>
        </w:rPr>
        <w:t xml:space="preserve">Future 50  PhD Scholarship </w:t>
      </w:r>
    </w:p>
    <w:p w14:paraId="5EBFDCFA" w14:textId="77777777" w:rsidR="00B44550" w:rsidRDefault="00B44550" w:rsidP="00B44550">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B44550" w:rsidRPr="00066C81" w14:paraId="0F8E931C" w14:textId="77777777" w:rsidTr="00487449">
        <w:trPr>
          <w:trHeight w:val="50"/>
        </w:trPr>
        <w:tc>
          <w:tcPr>
            <w:tcW w:w="3227" w:type="dxa"/>
            <w:shd w:val="clear" w:color="auto" w:fill="F2F2F2" w:themeFill="background1" w:themeFillShade="F2"/>
          </w:tcPr>
          <w:p w14:paraId="018D4A00" w14:textId="77777777" w:rsidR="00B44550" w:rsidRPr="00066C81" w:rsidRDefault="00B44550" w:rsidP="00977274">
            <w:pPr>
              <w:rPr>
                <w:b/>
              </w:rPr>
            </w:pPr>
            <w:r w:rsidRPr="00066C81">
              <w:rPr>
                <w:b/>
              </w:rPr>
              <w:t>Project Reference</w:t>
            </w:r>
          </w:p>
        </w:tc>
        <w:tc>
          <w:tcPr>
            <w:tcW w:w="5807" w:type="dxa"/>
          </w:tcPr>
          <w:p w14:paraId="245C9A0C" w14:textId="18B9BB0A" w:rsidR="00B44550" w:rsidRPr="00066C81" w:rsidRDefault="00487449" w:rsidP="00977274">
            <w:r>
              <w:t>ARCH Inskip</w:t>
            </w:r>
          </w:p>
        </w:tc>
      </w:tr>
    </w:tbl>
    <w:p w14:paraId="6BAE427E" w14:textId="77777777" w:rsidR="00B44550" w:rsidRDefault="00B44550" w:rsidP="00B44550">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B44550" w:rsidRPr="00066C81" w14:paraId="1268472D" w14:textId="77777777" w:rsidTr="00977274">
        <w:tc>
          <w:tcPr>
            <w:tcW w:w="3227" w:type="dxa"/>
            <w:shd w:val="clear" w:color="auto" w:fill="F2F2F2" w:themeFill="background1" w:themeFillShade="F2"/>
          </w:tcPr>
          <w:p w14:paraId="1739CF81" w14:textId="77777777" w:rsidR="00B44550" w:rsidRPr="00066C81" w:rsidRDefault="00B44550" w:rsidP="00977274">
            <w:pPr>
              <w:rPr>
                <w:b/>
              </w:rPr>
            </w:pPr>
            <w:r w:rsidRPr="00066C81">
              <w:rPr>
                <w:b/>
              </w:rPr>
              <w:t>First Supervisor</w:t>
            </w:r>
          </w:p>
        </w:tc>
        <w:tc>
          <w:tcPr>
            <w:tcW w:w="5807" w:type="dxa"/>
            <w:gridSpan w:val="3"/>
          </w:tcPr>
          <w:p w14:paraId="1FDA3D24" w14:textId="00BEC183" w:rsidR="00B44550" w:rsidRPr="00066C81" w:rsidRDefault="00B44550" w:rsidP="00977274">
            <w:r>
              <w:t xml:space="preserve">Dr Sarah Inskip </w:t>
            </w:r>
          </w:p>
        </w:tc>
      </w:tr>
      <w:tr w:rsidR="00B44550" w:rsidRPr="00066C81" w14:paraId="4CD2F295" w14:textId="77777777" w:rsidTr="00977274">
        <w:tc>
          <w:tcPr>
            <w:tcW w:w="3227" w:type="dxa"/>
            <w:shd w:val="clear" w:color="auto" w:fill="F2F2F2" w:themeFill="background1" w:themeFillShade="F2"/>
          </w:tcPr>
          <w:p w14:paraId="457F4C8F" w14:textId="77777777" w:rsidR="00B44550" w:rsidRPr="00066C81" w:rsidRDefault="00B44550" w:rsidP="00977274">
            <w:pPr>
              <w:rPr>
                <w:b/>
              </w:rPr>
            </w:pPr>
            <w:r w:rsidRPr="00066C81">
              <w:rPr>
                <w:b/>
              </w:rPr>
              <w:t>School/Department</w:t>
            </w:r>
          </w:p>
        </w:tc>
        <w:tc>
          <w:tcPr>
            <w:tcW w:w="5807" w:type="dxa"/>
            <w:gridSpan w:val="3"/>
          </w:tcPr>
          <w:p w14:paraId="3FA8E12B" w14:textId="77777777" w:rsidR="00B44550" w:rsidRPr="00066C81" w:rsidRDefault="00B44550" w:rsidP="00977274">
            <w:r>
              <w:t>School of Archaeology and Ancient History</w:t>
            </w:r>
          </w:p>
        </w:tc>
      </w:tr>
      <w:tr w:rsidR="00B44550" w:rsidRPr="00066C81" w14:paraId="188121A5" w14:textId="77777777" w:rsidTr="00977274">
        <w:tc>
          <w:tcPr>
            <w:tcW w:w="3227" w:type="dxa"/>
            <w:shd w:val="clear" w:color="auto" w:fill="F2F2F2" w:themeFill="background1" w:themeFillShade="F2"/>
          </w:tcPr>
          <w:p w14:paraId="53B10E4D" w14:textId="77777777" w:rsidR="00B44550" w:rsidRPr="00066C81" w:rsidRDefault="00B44550" w:rsidP="00977274">
            <w:pPr>
              <w:rPr>
                <w:b/>
              </w:rPr>
            </w:pPr>
            <w:r w:rsidRPr="00066C81">
              <w:rPr>
                <w:b/>
              </w:rPr>
              <w:t xml:space="preserve">Email </w:t>
            </w:r>
          </w:p>
        </w:tc>
        <w:tc>
          <w:tcPr>
            <w:tcW w:w="2693" w:type="dxa"/>
          </w:tcPr>
          <w:p w14:paraId="4A7E8773" w14:textId="77777777" w:rsidR="00B44550" w:rsidRPr="00066C81" w:rsidRDefault="00B44550" w:rsidP="00977274">
            <w:r>
              <w:t>s.inskip@le.ac.uk</w:t>
            </w:r>
          </w:p>
        </w:tc>
        <w:tc>
          <w:tcPr>
            <w:tcW w:w="1843" w:type="dxa"/>
            <w:shd w:val="clear" w:color="auto" w:fill="F2F2F2" w:themeFill="background1" w:themeFillShade="F2"/>
          </w:tcPr>
          <w:p w14:paraId="731F1AB2" w14:textId="77777777" w:rsidR="00B44550" w:rsidRPr="00066C81" w:rsidRDefault="00B44550" w:rsidP="00977274">
            <w:pPr>
              <w:rPr>
                <w:b/>
              </w:rPr>
            </w:pPr>
            <w:r w:rsidRPr="00066C81">
              <w:rPr>
                <w:b/>
              </w:rPr>
              <w:t>Telephone Ext</w:t>
            </w:r>
          </w:p>
        </w:tc>
        <w:tc>
          <w:tcPr>
            <w:tcW w:w="1271" w:type="dxa"/>
          </w:tcPr>
          <w:p w14:paraId="0B50094A" w14:textId="77777777" w:rsidR="00B44550" w:rsidRPr="00066C81" w:rsidRDefault="00B44550" w:rsidP="00977274">
            <w:r>
              <w:t>2723</w:t>
            </w:r>
          </w:p>
        </w:tc>
      </w:tr>
    </w:tbl>
    <w:p w14:paraId="2CF46E8A" w14:textId="77777777" w:rsidR="00B44550" w:rsidRDefault="00B44550" w:rsidP="00B44550">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B44550" w14:paraId="19AD22D8" w14:textId="77777777" w:rsidTr="00977274">
        <w:tc>
          <w:tcPr>
            <w:tcW w:w="3256" w:type="dxa"/>
            <w:shd w:val="clear" w:color="auto" w:fill="F2F2F2" w:themeFill="background1" w:themeFillShade="F2"/>
          </w:tcPr>
          <w:p w14:paraId="3841756E" w14:textId="77777777" w:rsidR="00B44550" w:rsidRPr="00B11D52" w:rsidRDefault="00B44550" w:rsidP="00977274">
            <w:pPr>
              <w:rPr>
                <w:b/>
              </w:rPr>
            </w:pPr>
            <w:r>
              <w:rPr>
                <w:b/>
              </w:rPr>
              <w:t>Second Supervisor</w:t>
            </w:r>
          </w:p>
        </w:tc>
        <w:tc>
          <w:tcPr>
            <w:tcW w:w="5778" w:type="dxa"/>
            <w:gridSpan w:val="3"/>
          </w:tcPr>
          <w:p w14:paraId="4242D9DF" w14:textId="6900DAEA" w:rsidR="00B44550" w:rsidRDefault="00B44550" w:rsidP="00977274">
            <w:r>
              <w:t xml:space="preserve">Dr Eric Guiry </w:t>
            </w:r>
          </w:p>
        </w:tc>
      </w:tr>
      <w:tr w:rsidR="00B44550" w14:paraId="2534A531" w14:textId="77777777" w:rsidTr="00977274">
        <w:tc>
          <w:tcPr>
            <w:tcW w:w="3256" w:type="dxa"/>
            <w:shd w:val="clear" w:color="auto" w:fill="F2F2F2" w:themeFill="background1" w:themeFillShade="F2"/>
          </w:tcPr>
          <w:p w14:paraId="221E825A" w14:textId="77777777" w:rsidR="00B44550" w:rsidRDefault="00B44550" w:rsidP="00977274">
            <w:pPr>
              <w:rPr>
                <w:b/>
              </w:rPr>
            </w:pPr>
            <w:r>
              <w:rPr>
                <w:b/>
              </w:rPr>
              <w:t>School/Department</w:t>
            </w:r>
          </w:p>
        </w:tc>
        <w:tc>
          <w:tcPr>
            <w:tcW w:w="5778" w:type="dxa"/>
            <w:gridSpan w:val="3"/>
          </w:tcPr>
          <w:p w14:paraId="077B6DEC" w14:textId="77777777" w:rsidR="00B44550" w:rsidRDefault="00B44550" w:rsidP="00977274">
            <w:r>
              <w:t>School of Archaeology and Ancient History</w:t>
            </w:r>
          </w:p>
        </w:tc>
      </w:tr>
      <w:tr w:rsidR="00B44550" w14:paraId="4C9A820C" w14:textId="77777777" w:rsidTr="00977274">
        <w:tc>
          <w:tcPr>
            <w:tcW w:w="3256" w:type="dxa"/>
            <w:shd w:val="clear" w:color="auto" w:fill="F2F2F2" w:themeFill="background1" w:themeFillShade="F2"/>
          </w:tcPr>
          <w:p w14:paraId="6FB213F4" w14:textId="77777777" w:rsidR="00B44550" w:rsidRDefault="00B44550" w:rsidP="00977274">
            <w:pPr>
              <w:rPr>
                <w:b/>
              </w:rPr>
            </w:pPr>
            <w:r>
              <w:rPr>
                <w:b/>
              </w:rPr>
              <w:t xml:space="preserve">Email </w:t>
            </w:r>
          </w:p>
        </w:tc>
        <w:tc>
          <w:tcPr>
            <w:tcW w:w="2664" w:type="dxa"/>
          </w:tcPr>
          <w:p w14:paraId="1DB4589A" w14:textId="77777777" w:rsidR="00B44550" w:rsidRDefault="00B44550" w:rsidP="00977274">
            <w:r w:rsidRPr="00162C22">
              <w:t>ejg26@leicester.ac.uk</w:t>
            </w:r>
          </w:p>
        </w:tc>
        <w:tc>
          <w:tcPr>
            <w:tcW w:w="1843" w:type="dxa"/>
            <w:shd w:val="clear" w:color="auto" w:fill="F2F2F2" w:themeFill="background1" w:themeFillShade="F2"/>
          </w:tcPr>
          <w:p w14:paraId="2AB7C139" w14:textId="77777777" w:rsidR="00B44550" w:rsidRPr="008D3AC2" w:rsidRDefault="00B44550" w:rsidP="00977274">
            <w:pPr>
              <w:rPr>
                <w:b/>
              </w:rPr>
            </w:pPr>
            <w:r>
              <w:rPr>
                <w:b/>
              </w:rPr>
              <w:t>Telephone Ext</w:t>
            </w:r>
          </w:p>
        </w:tc>
        <w:tc>
          <w:tcPr>
            <w:tcW w:w="1271" w:type="dxa"/>
          </w:tcPr>
          <w:p w14:paraId="667C60CD" w14:textId="77777777" w:rsidR="00B44550" w:rsidRDefault="00B44550" w:rsidP="00977274">
            <w:r>
              <w:t>2616</w:t>
            </w:r>
          </w:p>
        </w:tc>
      </w:tr>
    </w:tbl>
    <w:p w14:paraId="5E7BDD93" w14:textId="77777777" w:rsidR="00B44550" w:rsidRDefault="00B44550" w:rsidP="00B44550">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B44550" w14:paraId="1A8D6B6C" w14:textId="77777777" w:rsidTr="00977274">
        <w:tc>
          <w:tcPr>
            <w:tcW w:w="3256" w:type="dxa"/>
            <w:shd w:val="clear" w:color="auto" w:fill="F2F2F2" w:themeFill="background1" w:themeFillShade="F2"/>
          </w:tcPr>
          <w:p w14:paraId="50F03ABA" w14:textId="77777777" w:rsidR="00B44550" w:rsidRPr="00B11D52" w:rsidRDefault="00B44550" w:rsidP="00977274">
            <w:pPr>
              <w:rPr>
                <w:b/>
              </w:rPr>
            </w:pPr>
            <w:r>
              <w:rPr>
                <w:b/>
              </w:rPr>
              <w:t>Additional Supervisor</w:t>
            </w:r>
          </w:p>
        </w:tc>
        <w:tc>
          <w:tcPr>
            <w:tcW w:w="5778" w:type="dxa"/>
          </w:tcPr>
          <w:p w14:paraId="305A7D80" w14:textId="07781AC3" w:rsidR="00B44550" w:rsidRDefault="00B44550" w:rsidP="00487449">
            <w:r>
              <w:t>Dr Jeremy Taylor</w:t>
            </w:r>
            <w:r w:rsidR="00487449">
              <w:t xml:space="preserve">, </w:t>
            </w:r>
            <w:r>
              <w:t xml:space="preserve">  Dr Erin Dailey (History) </w:t>
            </w:r>
          </w:p>
        </w:tc>
      </w:tr>
      <w:tr w:rsidR="00B44550" w14:paraId="55A4AA48" w14:textId="77777777" w:rsidTr="00977274">
        <w:tc>
          <w:tcPr>
            <w:tcW w:w="3256" w:type="dxa"/>
            <w:shd w:val="clear" w:color="auto" w:fill="F2F2F2" w:themeFill="background1" w:themeFillShade="F2"/>
          </w:tcPr>
          <w:p w14:paraId="3E5ED27F" w14:textId="77777777" w:rsidR="00B44550" w:rsidRDefault="00B44550" w:rsidP="00977274">
            <w:pPr>
              <w:rPr>
                <w:b/>
              </w:rPr>
            </w:pPr>
            <w:r>
              <w:rPr>
                <w:b/>
              </w:rPr>
              <w:t>Advisors</w:t>
            </w:r>
          </w:p>
        </w:tc>
        <w:tc>
          <w:tcPr>
            <w:tcW w:w="5778" w:type="dxa"/>
          </w:tcPr>
          <w:p w14:paraId="56BE17D2" w14:textId="77777777" w:rsidR="00B44550" w:rsidRDefault="00B44550" w:rsidP="00977274">
            <w:r>
              <w:t>Prof Sarah Scott</w:t>
            </w:r>
          </w:p>
        </w:tc>
      </w:tr>
    </w:tbl>
    <w:p w14:paraId="29256194" w14:textId="77777777" w:rsidR="00B44550" w:rsidRDefault="00B44550" w:rsidP="00B44550">
      <w:pPr>
        <w:spacing w:after="0" w:line="240" w:lineRule="auto"/>
        <w:rPr>
          <w:b/>
          <w:u w:val="single"/>
        </w:rPr>
      </w:pPr>
    </w:p>
    <w:p w14:paraId="1A1D20F1" w14:textId="77777777" w:rsidR="00B44550" w:rsidRPr="006B05B2" w:rsidRDefault="00B44550" w:rsidP="00B44550">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B44550" w14:paraId="4EA33A99" w14:textId="77777777" w:rsidTr="00977274">
        <w:tc>
          <w:tcPr>
            <w:tcW w:w="1980" w:type="dxa"/>
            <w:shd w:val="clear" w:color="auto" w:fill="F2F2F2" w:themeFill="background1" w:themeFillShade="F2"/>
          </w:tcPr>
          <w:p w14:paraId="6A857D8A" w14:textId="77777777" w:rsidR="00B44550" w:rsidRDefault="00B44550" w:rsidP="00977274">
            <w:pPr>
              <w:rPr>
                <w:b/>
              </w:rPr>
            </w:pPr>
            <w:r>
              <w:rPr>
                <w:b/>
              </w:rPr>
              <w:t>Project Title</w:t>
            </w:r>
          </w:p>
          <w:p w14:paraId="1E2DF59F" w14:textId="77777777" w:rsidR="00B44550" w:rsidRPr="00B11D52" w:rsidRDefault="00B44550" w:rsidP="00977274">
            <w:pPr>
              <w:rPr>
                <w:b/>
              </w:rPr>
            </w:pPr>
          </w:p>
        </w:tc>
        <w:tc>
          <w:tcPr>
            <w:tcW w:w="7036" w:type="dxa"/>
            <w:gridSpan w:val="2"/>
          </w:tcPr>
          <w:p w14:paraId="64348A1C" w14:textId="77777777" w:rsidR="00B44550" w:rsidRDefault="00B44550" w:rsidP="00977274">
            <w:r>
              <w:t>Transitional foodways: Investigating the Anglo-Saxon transition through a multidisciplinary study of consumption practices in 3</w:t>
            </w:r>
            <w:r w:rsidRPr="008B02C7">
              <w:rPr>
                <w:vertAlign w:val="superscript"/>
              </w:rPr>
              <w:t>rd</w:t>
            </w:r>
            <w:r>
              <w:t>-8</w:t>
            </w:r>
            <w:r w:rsidRPr="008B02C7">
              <w:rPr>
                <w:vertAlign w:val="superscript"/>
              </w:rPr>
              <w:t>th</w:t>
            </w:r>
            <w:r>
              <w:t xml:space="preserve"> century Northamptonshire. </w:t>
            </w:r>
          </w:p>
        </w:tc>
      </w:tr>
      <w:tr w:rsidR="00B44550" w14:paraId="5E7D6A23" w14:textId="77777777" w:rsidTr="00977274">
        <w:tc>
          <w:tcPr>
            <w:tcW w:w="1980" w:type="dxa"/>
            <w:vMerge w:val="restart"/>
            <w:shd w:val="clear" w:color="auto" w:fill="F2F2F2" w:themeFill="background1" w:themeFillShade="F2"/>
          </w:tcPr>
          <w:p w14:paraId="670BE508" w14:textId="77777777" w:rsidR="00B44550" w:rsidRDefault="00B44550" w:rsidP="00977274">
            <w:pPr>
              <w:rPr>
                <w:b/>
              </w:rPr>
            </w:pPr>
            <w:r>
              <w:rPr>
                <w:b/>
              </w:rPr>
              <w:t>Project Highlights:</w:t>
            </w:r>
          </w:p>
        </w:tc>
        <w:tc>
          <w:tcPr>
            <w:tcW w:w="425" w:type="dxa"/>
            <w:shd w:val="clear" w:color="auto" w:fill="F2F2F2" w:themeFill="background1" w:themeFillShade="F2"/>
          </w:tcPr>
          <w:p w14:paraId="4E5E61DC" w14:textId="77777777" w:rsidR="00B44550" w:rsidRDefault="00B44550" w:rsidP="00977274">
            <w:r>
              <w:t>1.</w:t>
            </w:r>
          </w:p>
        </w:tc>
        <w:tc>
          <w:tcPr>
            <w:tcW w:w="6611" w:type="dxa"/>
          </w:tcPr>
          <w:p w14:paraId="15DD1BBA" w14:textId="77777777" w:rsidR="00B44550" w:rsidRDefault="00B44550" w:rsidP="00977274">
            <w:r>
              <w:t>Transitional study on subsistence strategies in a neglected Roman settlement type.</w:t>
            </w:r>
          </w:p>
        </w:tc>
      </w:tr>
      <w:tr w:rsidR="00B44550" w14:paraId="6A7F0A58" w14:textId="77777777" w:rsidTr="00977274">
        <w:tc>
          <w:tcPr>
            <w:tcW w:w="1980" w:type="dxa"/>
            <w:vMerge/>
            <w:shd w:val="clear" w:color="auto" w:fill="F2F2F2" w:themeFill="background1" w:themeFillShade="F2"/>
          </w:tcPr>
          <w:p w14:paraId="0C5DAA11" w14:textId="77777777" w:rsidR="00B44550" w:rsidRDefault="00B44550" w:rsidP="00977274">
            <w:pPr>
              <w:rPr>
                <w:b/>
              </w:rPr>
            </w:pPr>
          </w:p>
        </w:tc>
        <w:tc>
          <w:tcPr>
            <w:tcW w:w="425" w:type="dxa"/>
            <w:shd w:val="clear" w:color="auto" w:fill="F2F2F2" w:themeFill="background1" w:themeFillShade="F2"/>
          </w:tcPr>
          <w:p w14:paraId="0052107E" w14:textId="77777777" w:rsidR="00B44550" w:rsidRDefault="00B44550" w:rsidP="00977274">
            <w:r>
              <w:t>2.</w:t>
            </w:r>
          </w:p>
        </w:tc>
        <w:tc>
          <w:tcPr>
            <w:tcW w:w="6611" w:type="dxa"/>
          </w:tcPr>
          <w:p w14:paraId="674F5BBB" w14:textId="77777777" w:rsidR="00B44550" w:rsidRDefault="00B44550" w:rsidP="00977274">
            <w:r>
              <w:t xml:space="preserve">Working to maximise archaeological materials excavated by the School. </w:t>
            </w:r>
          </w:p>
        </w:tc>
      </w:tr>
      <w:tr w:rsidR="00B44550" w14:paraId="7038A711" w14:textId="77777777" w:rsidTr="00977274">
        <w:tc>
          <w:tcPr>
            <w:tcW w:w="1980" w:type="dxa"/>
            <w:vMerge/>
            <w:shd w:val="clear" w:color="auto" w:fill="F2F2F2" w:themeFill="background1" w:themeFillShade="F2"/>
          </w:tcPr>
          <w:p w14:paraId="26BCD266" w14:textId="77777777" w:rsidR="00B44550" w:rsidRDefault="00B44550" w:rsidP="00977274">
            <w:pPr>
              <w:rPr>
                <w:b/>
              </w:rPr>
            </w:pPr>
          </w:p>
        </w:tc>
        <w:tc>
          <w:tcPr>
            <w:tcW w:w="425" w:type="dxa"/>
            <w:shd w:val="clear" w:color="auto" w:fill="F2F2F2" w:themeFill="background1" w:themeFillShade="F2"/>
          </w:tcPr>
          <w:p w14:paraId="34E05345" w14:textId="77777777" w:rsidR="00B44550" w:rsidRDefault="00B44550" w:rsidP="00977274">
            <w:r>
              <w:t>3.</w:t>
            </w:r>
          </w:p>
        </w:tc>
        <w:tc>
          <w:tcPr>
            <w:tcW w:w="6611" w:type="dxa"/>
          </w:tcPr>
          <w:p w14:paraId="1CE74B18" w14:textId="77777777" w:rsidR="00B44550" w:rsidRDefault="00B44550" w:rsidP="00977274">
            <w:r>
              <w:t>Strengthening relationships with ULAS and Northampton ARC which provides outreach and engagement opportunities.</w:t>
            </w:r>
          </w:p>
        </w:tc>
      </w:tr>
      <w:tr w:rsidR="00B44550" w14:paraId="439DA09C" w14:textId="77777777" w:rsidTr="00977274">
        <w:tc>
          <w:tcPr>
            <w:tcW w:w="9016" w:type="dxa"/>
            <w:gridSpan w:val="3"/>
            <w:shd w:val="clear" w:color="auto" w:fill="F2F2F2" w:themeFill="background1" w:themeFillShade="F2"/>
          </w:tcPr>
          <w:p w14:paraId="486E1EBA" w14:textId="77777777" w:rsidR="00B44550" w:rsidRDefault="00B44550" w:rsidP="00977274">
            <w:r>
              <w:rPr>
                <w:b/>
              </w:rPr>
              <w:t>Project Summary (350 words)</w:t>
            </w:r>
          </w:p>
        </w:tc>
      </w:tr>
      <w:tr w:rsidR="00B44550" w14:paraId="1AFBFA3A" w14:textId="77777777" w:rsidTr="00977274">
        <w:tc>
          <w:tcPr>
            <w:tcW w:w="9016" w:type="dxa"/>
            <w:gridSpan w:val="3"/>
          </w:tcPr>
          <w:p w14:paraId="11274EC0" w14:textId="77777777" w:rsidR="00B44550" w:rsidRDefault="00B44550" w:rsidP="00977274">
            <w:r>
              <w:t xml:space="preserve">This project aims to assess how subsistence patterns changed in the region of Northamptonshire during the end of Roman rule and the advent of the Anglo-Saxon migration. </w:t>
            </w:r>
          </w:p>
          <w:p w14:paraId="2C04D991" w14:textId="77777777" w:rsidR="00B44550" w:rsidRDefault="00B44550" w:rsidP="00977274"/>
          <w:p w14:paraId="511B63E5" w14:textId="77777777" w:rsidR="00B44550" w:rsidRDefault="00B44550" w:rsidP="00977274">
            <w:bookmarkStart w:id="0" w:name="_Hlk117779822"/>
            <w:r>
              <w:t xml:space="preserve">Scholarship on late Roman Britain has long debated the arrival of the Anglo-Saxons and the subsequent social transformation that ultimately gave rise to medieval England. However, the prevailing analytical models have been constructed upon a small pool of historical sources (Bede, </w:t>
            </w:r>
            <w:proofErr w:type="spellStart"/>
            <w:r>
              <w:t>Gildas</w:t>
            </w:r>
            <w:proofErr w:type="spellEnd"/>
            <w:r>
              <w:t xml:space="preserve">, </w:t>
            </w:r>
            <w:proofErr w:type="spellStart"/>
            <w:r>
              <w:t>Nennius</w:t>
            </w:r>
            <w:proofErr w:type="spellEnd"/>
            <w:r>
              <w:t xml:space="preserve">, the </w:t>
            </w:r>
            <w:r>
              <w:rPr>
                <w:i/>
                <w:iCs/>
              </w:rPr>
              <w:t>Anglo-Saxon Chronicle</w:t>
            </w:r>
            <w:r>
              <w:t>) replete with interpretive challenges and an archaeological dataset biased toward a few prominent and large settlements (Colchester, London and St Albans) that are uncharacteristic of wider society.</w:t>
            </w:r>
            <w:bookmarkEnd w:id="0"/>
            <w:r>
              <w:t xml:space="preserve"> Little research exploring changes in the daily lives of people in smaller towns and settlements, the contexts in which most people actually resided, exists. </w:t>
            </w:r>
          </w:p>
          <w:p w14:paraId="22D42854" w14:textId="77777777" w:rsidR="00B44550" w:rsidRDefault="00B44550" w:rsidP="00977274"/>
          <w:p w14:paraId="401BD3B7" w14:textId="0F088BEA" w:rsidR="00B44550" w:rsidRDefault="00B44550" w:rsidP="00977274">
            <w:r>
              <w:t>As diet is such an important factor in the daily lives of people – inextricably linked to economy, society and identity – its analysis provides a valuable mechanism to explore change within past societies. In particular, the analysis of stable isotopes (carbon, nitrogen and sul</w:t>
            </w:r>
            <w:r w:rsidR="00E8046F">
              <w:t>ph</w:t>
            </w:r>
            <w:r>
              <w:t xml:space="preserve">ur) from human and animal bones and teeth offers an opportunity to understand whether there were significant temporal changes in animal management and consumption practices. Furthermore, consideration of changes in pathologies identifiable in the skeleton can indicate whether living conditions varied (e.g. stature, infectious and nutritional diseases). </w:t>
            </w:r>
          </w:p>
          <w:p w14:paraId="0695EBFA" w14:textId="77777777" w:rsidR="00B44550" w:rsidRDefault="00B44550" w:rsidP="00977274"/>
          <w:p w14:paraId="408A76CA" w14:textId="77777777" w:rsidR="00B44550" w:rsidRPr="00D25BBA" w:rsidRDefault="00B44550" w:rsidP="00977274">
            <w:r>
              <w:t xml:space="preserve">This project will assess 400 animal and human remains from the small town of Roman </w:t>
            </w:r>
            <w:proofErr w:type="spellStart"/>
            <w:r>
              <w:t>Irchester</w:t>
            </w:r>
            <w:proofErr w:type="spellEnd"/>
            <w:r>
              <w:t>, which comprise multiple Roman cemeteries dating from 3</w:t>
            </w:r>
            <w:r w:rsidRPr="00C80166">
              <w:rPr>
                <w:vertAlign w:val="superscript"/>
              </w:rPr>
              <w:t>rd</w:t>
            </w:r>
            <w:r>
              <w:t xml:space="preserve"> to late 4</w:t>
            </w:r>
            <w:r w:rsidRPr="00C80166">
              <w:rPr>
                <w:vertAlign w:val="superscript"/>
              </w:rPr>
              <w:t>th</w:t>
            </w:r>
            <w:r>
              <w:t xml:space="preserve"> centuries. These can be compared skeletally and isotopically to 200 5</w:t>
            </w:r>
            <w:r w:rsidRPr="005967E6">
              <w:rPr>
                <w:vertAlign w:val="superscript"/>
              </w:rPr>
              <w:t>th</w:t>
            </w:r>
            <w:r>
              <w:t xml:space="preserve"> to 8</w:t>
            </w:r>
            <w:r w:rsidRPr="005967E6">
              <w:rPr>
                <w:vertAlign w:val="superscript"/>
              </w:rPr>
              <w:t>th</w:t>
            </w:r>
            <w:r>
              <w:t xml:space="preserve"> century Anglo-Saxon remains from </w:t>
            </w:r>
            <w:proofErr w:type="spellStart"/>
            <w:r>
              <w:t>Harringworth</w:t>
            </w:r>
            <w:proofErr w:type="spellEnd"/>
            <w:r>
              <w:t xml:space="preserve">, Oundle and other local sites. This information will be contextualised with published </w:t>
            </w:r>
            <w:r>
              <w:lastRenderedPageBreak/>
              <w:t xml:space="preserve">data from other contemporary sites to identify how small Roman sites like </w:t>
            </w:r>
            <w:proofErr w:type="spellStart"/>
            <w:r>
              <w:t>Irchester</w:t>
            </w:r>
            <w:proofErr w:type="spellEnd"/>
            <w:r>
              <w:t xml:space="preserve"> compare to larger settlements and assess prevailing models this period (e.g. mass migration versus elite replacement) and highlight potential variation across Britain. This project supports existing research at </w:t>
            </w:r>
            <w:proofErr w:type="spellStart"/>
            <w:r>
              <w:t>Irchester</w:t>
            </w:r>
            <w:proofErr w:type="spellEnd"/>
            <w:r>
              <w:t xml:space="preserve"> and strengthens the University’s partnership with ULAS, The Chester House Estate and the ARC, a key part of SAAH’s research strategy. This partnership enables significant public outreach and engagement opportunities through the Museum, volunteering and learning programmes.</w:t>
            </w:r>
          </w:p>
        </w:tc>
      </w:tr>
    </w:tbl>
    <w:p w14:paraId="4FBB4A8D" w14:textId="77777777" w:rsidR="00B44550" w:rsidRDefault="00B44550" w:rsidP="00B44550"/>
    <w:p w14:paraId="49A845ED" w14:textId="77777777" w:rsidR="00807E4C" w:rsidRDefault="00807E4C"/>
    <w:sectPr w:rsidR="00807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50"/>
    <w:rsid w:val="00190721"/>
    <w:rsid w:val="00443D52"/>
    <w:rsid w:val="00487449"/>
    <w:rsid w:val="00807E4C"/>
    <w:rsid w:val="008F4359"/>
    <w:rsid w:val="009761D2"/>
    <w:rsid w:val="00B44550"/>
    <w:rsid w:val="00E8046F"/>
    <w:rsid w:val="00F6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D9C3"/>
  <w15:chartTrackingRefBased/>
  <w15:docId w15:val="{630CCF11-F4C9-4151-BC43-F6CD8B9E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5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741">
      <w:bodyDiv w:val="1"/>
      <w:marLeft w:val="0"/>
      <w:marRight w:val="0"/>
      <w:marTop w:val="0"/>
      <w:marBottom w:val="0"/>
      <w:divBdr>
        <w:top w:val="none" w:sz="0" w:space="0" w:color="auto"/>
        <w:left w:val="none" w:sz="0" w:space="0" w:color="auto"/>
        <w:bottom w:val="none" w:sz="0" w:space="0" w:color="auto"/>
        <w:right w:val="none" w:sz="0" w:space="0" w:color="auto"/>
      </w:divBdr>
    </w:div>
    <w:div w:id="6506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Mattingly, David J. (Prof.)</dc:creator>
  <cp:keywords/>
  <dc:description/>
  <cp:lastModifiedBy>White, Karen L.</cp:lastModifiedBy>
  <cp:revision>4</cp:revision>
  <dcterms:created xsi:type="dcterms:W3CDTF">2022-11-21T11:37:00Z</dcterms:created>
  <dcterms:modified xsi:type="dcterms:W3CDTF">2022-11-21T11:54:00Z</dcterms:modified>
</cp:coreProperties>
</file>