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4C72" w14:textId="77777777" w:rsidR="003F3750" w:rsidRDefault="003F3750" w:rsidP="003F3750">
      <w:pPr>
        <w:spacing w:line="240" w:lineRule="auto"/>
        <w:rPr>
          <w:rFonts w:eastAsiaTheme="minorHAnsi" w:cs="Arial"/>
          <w:b/>
          <w:color w:val="auto"/>
        </w:rPr>
      </w:pPr>
      <w:r>
        <w:rPr>
          <w:rFonts w:cs="Arial"/>
          <w:b/>
        </w:rPr>
        <w:t xml:space="preserve">University of Leicester </w:t>
      </w:r>
    </w:p>
    <w:p w14:paraId="26A0ACE6" w14:textId="77777777" w:rsidR="003F3750" w:rsidRDefault="003F3750" w:rsidP="003F3750">
      <w:pPr>
        <w:spacing w:line="240" w:lineRule="auto"/>
        <w:rPr>
          <w:rFonts w:ascii="Arial" w:hAnsi="Arial" w:cs="Arial"/>
          <w:b/>
        </w:rPr>
      </w:pPr>
      <w:r>
        <w:rPr>
          <w:rFonts w:cs="Arial"/>
          <w:b/>
        </w:rPr>
        <w:t xml:space="preserve">Future </w:t>
      </w:r>
      <w:proofErr w:type="gramStart"/>
      <w:r>
        <w:rPr>
          <w:rFonts w:cs="Arial"/>
          <w:b/>
        </w:rPr>
        <w:t>50  PhD</w:t>
      </w:r>
      <w:proofErr w:type="gramEnd"/>
      <w:r>
        <w:rPr>
          <w:rFonts w:cs="Arial"/>
          <w:b/>
        </w:rPr>
        <w:t xml:space="preserve"> Scholarship </w:t>
      </w:r>
    </w:p>
    <w:p w14:paraId="7ACD3F70" w14:textId="77777777" w:rsidR="00FA65DC" w:rsidRDefault="00FA65DC" w:rsidP="00FA65DC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FA65DC" w:rsidRPr="00066C81" w14:paraId="6D366A07" w14:textId="77777777" w:rsidTr="005302F0">
        <w:trPr>
          <w:trHeight w:val="253"/>
        </w:trPr>
        <w:tc>
          <w:tcPr>
            <w:tcW w:w="3227" w:type="dxa"/>
            <w:shd w:val="clear" w:color="auto" w:fill="F2F2F2" w:themeFill="background1" w:themeFillShade="F2"/>
          </w:tcPr>
          <w:p w14:paraId="2F079676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Project Reference</w:t>
            </w:r>
          </w:p>
        </w:tc>
        <w:tc>
          <w:tcPr>
            <w:tcW w:w="5807" w:type="dxa"/>
          </w:tcPr>
          <w:p w14:paraId="51240090" w14:textId="12217998" w:rsidR="00FA65DC" w:rsidRPr="00066C81" w:rsidRDefault="003824FA" w:rsidP="00745670">
            <w:r>
              <w:t>GGE Wilde</w:t>
            </w:r>
          </w:p>
        </w:tc>
      </w:tr>
    </w:tbl>
    <w:p w14:paraId="5B8E86F4" w14:textId="77777777" w:rsidR="00FA65DC" w:rsidRDefault="00FA65DC" w:rsidP="00FA65DC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271"/>
      </w:tblGrid>
      <w:tr w:rsidR="00FA65DC" w:rsidRPr="00066C81" w14:paraId="322E1222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05DC1496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First Supervisor</w:t>
            </w:r>
          </w:p>
        </w:tc>
        <w:tc>
          <w:tcPr>
            <w:tcW w:w="5807" w:type="dxa"/>
            <w:gridSpan w:val="3"/>
          </w:tcPr>
          <w:p w14:paraId="670E7F14" w14:textId="4DF68416" w:rsidR="00FA65DC" w:rsidRPr="00066C81" w:rsidRDefault="00435951" w:rsidP="00745670">
            <w:r>
              <w:t>Dr Matt Wilde – Lecturer in Human Geography</w:t>
            </w:r>
          </w:p>
        </w:tc>
      </w:tr>
      <w:tr w:rsidR="00FA65DC" w:rsidRPr="00066C81" w14:paraId="15ED5BBE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2C7A8376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School/Department</w:t>
            </w:r>
          </w:p>
        </w:tc>
        <w:tc>
          <w:tcPr>
            <w:tcW w:w="5807" w:type="dxa"/>
            <w:gridSpan w:val="3"/>
          </w:tcPr>
          <w:p w14:paraId="731208ED" w14:textId="7493EAA4" w:rsidR="00FA65DC" w:rsidRPr="00066C81" w:rsidRDefault="003F3750" w:rsidP="00745670">
            <w:r w:rsidRPr="003F3750">
              <w:t>Geography, Geology and the Environment</w:t>
            </w:r>
          </w:p>
        </w:tc>
      </w:tr>
      <w:tr w:rsidR="00FA65DC" w:rsidRPr="00066C81" w14:paraId="3C049093" w14:textId="77777777" w:rsidTr="00435951">
        <w:trPr>
          <w:trHeight w:val="217"/>
        </w:trPr>
        <w:tc>
          <w:tcPr>
            <w:tcW w:w="3227" w:type="dxa"/>
            <w:shd w:val="clear" w:color="auto" w:fill="F2F2F2" w:themeFill="background1" w:themeFillShade="F2"/>
          </w:tcPr>
          <w:p w14:paraId="4DE55460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 xml:space="preserve">Email </w:t>
            </w:r>
          </w:p>
        </w:tc>
        <w:tc>
          <w:tcPr>
            <w:tcW w:w="2693" w:type="dxa"/>
          </w:tcPr>
          <w:p w14:paraId="71E2C43C" w14:textId="34CD4333" w:rsidR="00435951" w:rsidRPr="00066C81" w:rsidRDefault="003F3750" w:rsidP="00435951">
            <w:hyperlink r:id="rId8" w:history="1">
              <w:r w:rsidR="00435951" w:rsidRPr="00A433E0">
                <w:rPr>
                  <w:rStyle w:val="Hyperlink"/>
                </w:rPr>
                <w:t>mw419@le.ac.uk</w:t>
              </w:r>
            </w:hyperlink>
          </w:p>
        </w:tc>
        <w:tc>
          <w:tcPr>
            <w:tcW w:w="1843" w:type="dxa"/>
            <w:shd w:val="clear" w:color="auto" w:fill="F2F2F2" w:themeFill="background1" w:themeFillShade="F2"/>
          </w:tcPr>
          <w:p w14:paraId="238F1813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Telephone Ext</w:t>
            </w:r>
          </w:p>
        </w:tc>
        <w:tc>
          <w:tcPr>
            <w:tcW w:w="1271" w:type="dxa"/>
          </w:tcPr>
          <w:p w14:paraId="439B687E" w14:textId="418F41B0" w:rsidR="00FA65DC" w:rsidRPr="00066C81" w:rsidRDefault="00801BD4" w:rsidP="00745670">
            <w:r>
              <w:t>3315</w:t>
            </w:r>
          </w:p>
        </w:tc>
      </w:tr>
    </w:tbl>
    <w:p w14:paraId="162B3956" w14:textId="77777777" w:rsidR="00FA65DC" w:rsidRDefault="00FA65DC" w:rsidP="00FA65DC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2664"/>
        <w:gridCol w:w="1843"/>
        <w:gridCol w:w="1271"/>
      </w:tblGrid>
      <w:tr w:rsidR="00FA65DC" w14:paraId="65C977B5" w14:textId="77777777" w:rsidTr="00745670">
        <w:tc>
          <w:tcPr>
            <w:tcW w:w="3256" w:type="dxa"/>
            <w:shd w:val="clear" w:color="auto" w:fill="F2F2F2" w:themeFill="background1" w:themeFillShade="F2"/>
          </w:tcPr>
          <w:p w14:paraId="13435B3B" w14:textId="77777777" w:rsidR="00FA65DC" w:rsidRPr="00B11D52" w:rsidRDefault="00FA65DC" w:rsidP="00745670">
            <w:pPr>
              <w:rPr>
                <w:b/>
              </w:rPr>
            </w:pPr>
            <w:r>
              <w:rPr>
                <w:b/>
              </w:rPr>
              <w:t>Second Supervisor</w:t>
            </w:r>
          </w:p>
        </w:tc>
        <w:tc>
          <w:tcPr>
            <w:tcW w:w="5778" w:type="dxa"/>
            <w:gridSpan w:val="3"/>
          </w:tcPr>
          <w:p w14:paraId="1A0FA8BF" w14:textId="01BE3540" w:rsidR="00FA65DC" w:rsidRDefault="00435951" w:rsidP="00745670">
            <w:r>
              <w:t>Dr Ben Coles – Lecturer in Economic and Political Geography</w:t>
            </w:r>
          </w:p>
        </w:tc>
      </w:tr>
      <w:tr w:rsidR="00FA65DC" w14:paraId="58044821" w14:textId="77777777" w:rsidTr="00745670">
        <w:tc>
          <w:tcPr>
            <w:tcW w:w="3256" w:type="dxa"/>
            <w:shd w:val="clear" w:color="auto" w:fill="F2F2F2" w:themeFill="background1" w:themeFillShade="F2"/>
          </w:tcPr>
          <w:p w14:paraId="7D02502A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>School/Department</w:t>
            </w:r>
          </w:p>
        </w:tc>
        <w:tc>
          <w:tcPr>
            <w:tcW w:w="5778" w:type="dxa"/>
            <w:gridSpan w:val="3"/>
          </w:tcPr>
          <w:p w14:paraId="5CCA4D4C" w14:textId="33FFA742" w:rsidR="00FA65DC" w:rsidRDefault="00435951" w:rsidP="00745670">
            <w:r>
              <w:t>GGE</w:t>
            </w:r>
          </w:p>
        </w:tc>
      </w:tr>
      <w:tr w:rsidR="00FA65DC" w14:paraId="64AE7F63" w14:textId="77777777" w:rsidTr="00745670">
        <w:tc>
          <w:tcPr>
            <w:tcW w:w="3256" w:type="dxa"/>
            <w:shd w:val="clear" w:color="auto" w:fill="F2F2F2" w:themeFill="background1" w:themeFillShade="F2"/>
          </w:tcPr>
          <w:p w14:paraId="37500CEE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2664" w:type="dxa"/>
          </w:tcPr>
          <w:p w14:paraId="150CD25E" w14:textId="38EB4E2A" w:rsidR="00435951" w:rsidRDefault="003F3750" w:rsidP="00435951">
            <w:hyperlink r:id="rId9" w:history="1">
              <w:r w:rsidR="00435951" w:rsidRPr="00A433E0">
                <w:rPr>
                  <w:rStyle w:val="Hyperlink"/>
                </w:rPr>
                <w:t>bfc2@le.ac.uk</w:t>
              </w:r>
            </w:hyperlink>
          </w:p>
        </w:tc>
        <w:tc>
          <w:tcPr>
            <w:tcW w:w="1843" w:type="dxa"/>
            <w:shd w:val="clear" w:color="auto" w:fill="F2F2F2" w:themeFill="background1" w:themeFillShade="F2"/>
          </w:tcPr>
          <w:p w14:paraId="27EF13B3" w14:textId="77777777" w:rsidR="00FA65DC" w:rsidRPr="008D3AC2" w:rsidRDefault="00FA65DC" w:rsidP="00745670">
            <w:pPr>
              <w:rPr>
                <w:b/>
              </w:rPr>
            </w:pPr>
            <w:r>
              <w:rPr>
                <w:b/>
              </w:rPr>
              <w:t>Telephone Ext</w:t>
            </w:r>
          </w:p>
        </w:tc>
        <w:tc>
          <w:tcPr>
            <w:tcW w:w="1271" w:type="dxa"/>
          </w:tcPr>
          <w:p w14:paraId="19D392AC" w14:textId="7FB2626C" w:rsidR="00FA65DC" w:rsidRDefault="00435951" w:rsidP="00745670">
            <w:r>
              <w:t>3838</w:t>
            </w:r>
          </w:p>
        </w:tc>
      </w:tr>
    </w:tbl>
    <w:p w14:paraId="1559EDEE" w14:textId="77777777" w:rsidR="00FA65DC" w:rsidRDefault="00FA65DC" w:rsidP="00FA65DC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FA65DC" w14:paraId="7F52B305" w14:textId="77777777" w:rsidTr="00745670">
        <w:tc>
          <w:tcPr>
            <w:tcW w:w="3256" w:type="dxa"/>
            <w:shd w:val="clear" w:color="auto" w:fill="F2F2F2" w:themeFill="background1" w:themeFillShade="F2"/>
          </w:tcPr>
          <w:p w14:paraId="36098BB1" w14:textId="77777777" w:rsidR="00FA65DC" w:rsidRPr="00B11D52" w:rsidRDefault="00FA65DC" w:rsidP="00745670">
            <w:pPr>
              <w:rPr>
                <w:b/>
              </w:rPr>
            </w:pPr>
            <w:r>
              <w:rPr>
                <w:b/>
              </w:rPr>
              <w:t>Additional Supervisor</w:t>
            </w:r>
          </w:p>
        </w:tc>
        <w:tc>
          <w:tcPr>
            <w:tcW w:w="5778" w:type="dxa"/>
          </w:tcPr>
          <w:p w14:paraId="2740E30A" w14:textId="4620B877" w:rsidR="00435951" w:rsidRDefault="00435951" w:rsidP="00435951">
            <w:r>
              <w:t>Dr Dan Smith (</w:t>
            </w:r>
            <w:r w:rsidR="005302F0">
              <w:t>Geology</w:t>
            </w:r>
            <w:r>
              <w:t xml:space="preserve">) </w:t>
            </w:r>
            <w:hyperlink r:id="rId10" w:history="1">
              <w:r w:rsidRPr="00A433E0">
                <w:rPr>
                  <w:rStyle w:val="Hyperlink"/>
                </w:rPr>
                <w:t>djs40@leicester.ac.uk</w:t>
              </w:r>
            </w:hyperlink>
          </w:p>
        </w:tc>
      </w:tr>
    </w:tbl>
    <w:p w14:paraId="22AAD675" w14:textId="77777777" w:rsidR="00FA65DC" w:rsidRDefault="00FA65DC" w:rsidP="00FA65DC">
      <w:pPr>
        <w:spacing w:after="0" w:line="240" w:lineRule="auto"/>
        <w:rPr>
          <w:b/>
          <w:u w:val="single"/>
        </w:rPr>
      </w:pPr>
    </w:p>
    <w:p w14:paraId="33C0B18B" w14:textId="77777777" w:rsidR="00435951" w:rsidRDefault="00435951" w:rsidP="00FA65DC">
      <w:pPr>
        <w:spacing w:after="0" w:line="240" w:lineRule="auto"/>
        <w:rPr>
          <w:b/>
          <w:u w:val="single"/>
        </w:rPr>
      </w:pPr>
    </w:p>
    <w:p w14:paraId="0EF201ED" w14:textId="77777777" w:rsidR="00FA65DC" w:rsidRPr="006B05B2" w:rsidRDefault="00FA65DC" w:rsidP="00FA65DC">
      <w:pPr>
        <w:spacing w:after="0" w:line="240" w:lineRule="auto"/>
        <w:rPr>
          <w:b/>
          <w:i/>
        </w:rPr>
      </w:pPr>
      <w:r w:rsidRPr="006B05B2">
        <w:rPr>
          <w:b/>
        </w:rPr>
        <w:t xml:space="preserve">Section 2 – </w:t>
      </w:r>
      <w:r w:rsidRPr="006B05B2">
        <w:rPr>
          <w:b/>
          <w:i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11"/>
      </w:tblGrid>
      <w:tr w:rsidR="00FA65DC" w14:paraId="32F16E9A" w14:textId="77777777" w:rsidTr="00133B86">
        <w:trPr>
          <w:trHeight w:val="703"/>
        </w:trPr>
        <w:tc>
          <w:tcPr>
            <w:tcW w:w="1980" w:type="dxa"/>
            <w:shd w:val="clear" w:color="auto" w:fill="F2F2F2" w:themeFill="background1" w:themeFillShade="F2"/>
          </w:tcPr>
          <w:p w14:paraId="75409625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49CCFA5C" w14:textId="77777777" w:rsidR="00FA65DC" w:rsidRPr="00B11D52" w:rsidRDefault="00FA65DC" w:rsidP="00745670">
            <w:pPr>
              <w:rPr>
                <w:b/>
              </w:rPr>
            </w:pPr>
          </w:p>
        </w:tc>
        <w:tc>
          <w:tcPr>
            <w:tcW w:w="7036" w:type="dxa"/>
            <w:gridSpan w:val="2"/>
          </w:tcPr>
          <w:p w14:paraId="57AD6B12" w14:textId="609F0378" w:rsidR="00AB331A" w:rsidRPr="00B8088B" w:rsidRDefault="00AB331A" w:rsidP="00FA1782">
            <w:pPr>
              <w:pStyle w:val="xmsonormal"/>
              <w:spacing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B8088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Winds of change: a</w:t>
            </w:r>
            <w:r w:rsidR="005302F0" w:rsidRPr="00B8088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nalysing the</w:t>
            </w:r>
            <w:r w:rsidRPr="00B8088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social and e</w:t>
            </w:r>
            <w:r w:rsidR="005302F0" w:rsidRPr="00B8088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nvironmental</w:t>
            </w:r>
            <w:r w:rsidRPr="00B8088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geographies of wind energy</w:t>
            </w:r>
          </w:p>
        </w:tc>
      </w:tr>
      <w:tr w:rsidR="00FA65DC" w14:paraId="2B452CC2" w14:textId="77777777" w:rsidTr="00617BE2">
        <w:trPr>
          <w:trHeight w:val="1117"/>
        </w:trPr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732CD459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9DB4256" w14:textId="77777777" w:rsidR="00FA65DC" w:rsidRDefault="00FA65DC" w:rsidP="00745670">
            <w:r>
              <w:t>1.</w:t>
            </w:r>
          </w:p>
        </w:tc>
        <w:tc>
          <w:tcPr>
            <w:tcW w:w="6611" w:type="dxa"/>
          </w:tcPr>
          <w:p w14:paraId="378DCC01" w14:textId="1B0BA158" w:rsidR="00FA65DC" w:rsidRDefault="0087062A" w:rsidP="00764A7A">
            <w:r>
              <w:t>Produces a much-needed empirical analysis of the global circuits of investment, extraction, assemblage and generation that constitute wind energy and its supply chains</w:t>
            </w:r>
          </w:p>
          <w:p w14:paraId="0B8C9538" w14:textId="1E477CDC" w:rsidR="0087062A" w:rsidRDefault="0087062A" w:rsidP="00764A7A"/>
        </w:tc>
      </w:tr>
      <w:tr w:rsidR="00FA65DC" w14:paraId="55CCBDBC" w14:textId="77777777" w:rsidTr="00745670">
        <w:tc>
          <w:tcPr>
            <w:tcW w:w="1980" w:type="dxa"/>
            <w:vMerge/>
            <w:shd w:val="clear" w:color="auto" w:fill="F2F2F2" w:themeFill="background1" w:themeFillShade="F2"/>
          </w:tcPr>
          <w:p w14:paraId="17D2D6C9" w14:textId="55D81229" w:rsidR="00FA65DC" w:rsidRDefault="00FA65DC" w:rsidP="00745670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0E869B5D" w14:textId="77777777" w:rsidR="00FA65DC" w:rsidRDefault="00FA65DC" w:rsidP="00745670">
            <w:r>
              <w:t>2.</w:t>
            </w:r>
          </w:p>
        </w:tc>
        <w:tc>
          <w:tcPr>
            <w:tcW w:w="6611" w:type="dxa"/>
          </w:tcPr>
          <w:p w14:paraId="7FC0B951" w14:textId="51FDBC7A" w:rsidR="0087062A" w:rsidRDefault="00617BE2" w:rsidP="00617BE2">
            <w:r>
              <w:t xml:space="preserve">Uses interdisciplinary methods (economic anthropology, economic geography and economic geology) to understand pressing contemporary challenges around Net Zero and energy security </w:t>
            </w:r>
          </w:p>
          <w:p w14:paraId="5D02F70E" w14:textId="4DDBFA5A" w:rsidR="00617BE2" w:rsidRDefault="00617BE2" w:rsidP="00617BE2"/>
        </w:tc>
      </w:tr>
      <w:tr w:rsidR="00FA65DC" w14:paraId="691A2B0B" w14:textId="77777777" w:rsidTr="00745670">
        <w:tc>
          <w:tcPr>
            <w:tcW w:w="1980" w:type="dxa"/>
            <w:vMerge/>
            <w:shd w:val="clear" w:color="auto" w:fill="F2F2F2" w:themeFill="background1" w:themeFillShade="F2"/>
          </w:tcPr>
          <w:p w14:paraId="2A97B37C" w14:textId="77777777" w:rsidR="00FA65DC" w:rsidRDefault="00FA65DC" w:rsidP="00745670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18CD5BE3" w14:textId="77777777" w:rsidR="00FA65DC" w:rsidRDefault="00FA65DC" w:rsidP="00745670">
            <w:r>
              <w:t>3.</w:t>
            </w:r>
          </w:p>
        </w:tc>
        <w:tc>
          <w:tcPr>
            <w:tcW w:w="6611" w:type="dxa"/>
          </w:tcPr>
          <w:p w14:paraId="45664D09" w14:textId="6B2A6651" w:rsidR="00617BE2" w:rsidRDefault="0087062A" w:rsidP="00617BE2">
            <w:r>
              <w:t xml:space="preserve">Informs policy-making on </w:t>
            </w:r>
            <w:r w:rsidR="00617BE2">
              <w:t xml:space="preserve">just </w:t>
            </w:r>
            <w:r>
              <w:t xml:space="preserve">energy transitions by </w:t>
            </w:r>
            <w:r w:rsidR="00617BE2">
              <w:t>analysing the social and environmental impact of wind energy development in UK/Europe on sources of extraction and production in the Global South</w:t>
            </w:r>
          </w:p>
          <w:p w14:paraId="194AE404" w14:textId="5CF0300D" w:rsidR="0087062A" w:rsidRDefault="0087062A" w:rsidP="00745670"/>
        </w:tc>
      </w:tr>
      <w:tr w:rsidR="00FA65DC" w14:paraId="045BF4FC" w14:textId="77777777" w:rsidTr="00745670">
        <w:tc>
          <w:tcPr>
            <w:tcW w:w="9016" w:type="dxa"/>
            <w:gridSpan w:val="3"/>
            <w:shd w:val="clear" w:color="auto" w:fill="F2F2F2" w:themeFill="background1" w:themeFillShade="F2"/>
          </w:tcPr>
          <w:p w14:paraId="2BF22AAD" w14:textId="415109A3" w:rsidR="00FA65DC" w:rsidRDefault="00FA65DC" w:rsidP="00745670">
            <w:r>
              <w:rPr>
                <w:b/>
              </w:rPr>
              <w:t xml:space="preserve">Project Summary </w:t>
            </w:r>
          </w:p>
        </w:tc>
      </w:tr>
      <w:tr w:rsidR="00FA65DC" w14:paraId="2100A649" w14:textId="77777777" w:rsidTr="00745670">
        <w:tc>
          <w:tcPr>
            <w:tcW w:w="9016" w:type="dxa"/>
            <w:gridSpan w:val="3"/>
          </w:tcPr>
          <w:p w14:paraId="56D21B9F" w14:textId="77C19003" w:rsidR="00FA65DC" w:rsidRDefault="00FA65DC" w:rsidP="00745670">
            <w:pPr>
              <w:rPr>
                <w:b/>
              </w:rPr>
            </w:pPr>
          </w:p>
          <w:p w14:paraId="580D33B6" w14:textId="219BC71F" w:rsidR="00764A7A" w:rsidRDefault="00764A7A" w:rsidP="00764A7A">
            <w:pPr>
              <w:pStyle w:val="xmsonormal"/>
              <w:spacing w:before="0" w:beforeAutospacing="0" w:after="0" w:afterAutospacing="0"/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This project aims to analyse the </w:t>
            </w:r>
            <w:r w:rsidR="007E05C8"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financial circuits, </w:t>
            </w:r>
            <w:r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productive processes, social relationships and economic practices that constitute the global wind </w:t>
            </w:r>
            <w:r w:rsidR="00EF719D"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  <w:t>industry</w:t>
            </w:r>
            <w:r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. </w:t>
            </w:r>
            <w:r w:rsidR="00133B86"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  <w:t>It will do so using a multi-sited, mixed methods approach that examines how wind energy is produced through interconnected sites of investment, extraction, assemblage and generation.</w:t>
            </w:r>
          </w:p>
          <w:p w14:paraId="2B7114D1" w14:textId="77777777" w:rsidR="00764A7A" w:rsidRDefault="00764A7A" w:rsidP="00764A7A">
            <w:pPr>
              <w:pStyle w:val="xmsonormal"/>
              <w:spacing w:before="0" w:beforeAutospacing="0" w:after="0" w:afterAutospacing="0"/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</w:p>
          <w:p w14:paraId="27B92581" w14:textId="62A3711D" w:rsidR="00764A7A" w:rsidRDefault="00764A7A" w:rsidP="00764A7A">
            <w:pPr>
              <w:pStyle w:val="xmsonormal"/>
              <w:spacing w:before="0" w:beforeAutospacing="0" w:after="0" w:afterAutospacing="0"/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  <w:t>In the wake of COP 26, ‘Net-Zero’ commitments for reducing carbon dioxide (CO</w:t>
            </w:r>
            <w:r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  <w:vertAlign w:val="subscript"/>
              </w:rPr>
              <w:t>2</w:t>
            </w:r>
            <w:r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) emissions have become central to global environmental agendas and national energy strategies </w:t>
            </w:r>
            <w:r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  <w:instrText xml:space="preserve"> ADDIN ZOTERO_ITEM CSL_CITATION {"citationID":"YHl1ua0t","properties":{"formattedCitation":"(UK GOV 2022)","plainCitation":"(UK GOV 2022)","noteIndex":0},"citationItems":[{"id":1651,"uris":["http://zotero.org/users/580026/items/89KHZJJD"],"itemData":{"id":1651,"type":"report","language":"en","publisher":"Department for Business, Energy and Industrial Strategy","title":"British Energy Security Strategy","URL":"https://www.gov.uk/government/publications/british-energy-security-strategy/british-energy-security-strategy","author":[{"family":"UK GOV","given":""}],"accessed":{"date-parts":[["2022",10,11]]},"issued":{"date-parts":[["2022"]]}}}],"schema":"https://github.com/citation-style-language/schema/raw/master/csl-citation.json"} </w:instrText>
            </w:r>
            <w:r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  <w:fldChar w:fldCharType="separate"/>
            </w:r>
            <w:r>
              <w:rPr>
                <w:rStyle w:val="xcontentpasted0"/>
                <w:rFonts w:asciiTheme="minorHAnsi" w:hAnsiTheme="minorHAnsi" w:cstheme="minorHAnsi"/>
                <w:noProof/>
                <w:color w:val="000000"/>
                <w:bdr w:val="none" w:sz="0" w:space="0" w:color="auto" w:frame="1"/>
              </w:rPr>
              <w:t>(UK GOV 2022)</w:t>
            </w:r>
            <w:r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  <w:fldChar w:fldCharType="end"/>
            </w:r>
            <w:r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. Within these commitments, ‘just transitions’ to renewable forms of electricity – namely solar and wind power – have taken centre stage </w:t>
            </w:r>
            <w:r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  <w:fldChar w:fldCharType="begin"/>
            </w:r>
            <w:r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  <w:instrText xml:space="preserve"> ADDIN ZOTERO_ITEM CSL_CITATION {"citationID":"MXXJXLvb","properties":{"formattedCitation":"(Lawrence and Laybourn-Langton 2021)","plainCitation":"(Lawrence and Laybourn-Langton 2021)","noteIndex":0},"citationItems":[{"id":1607,"uris":["http://zotero.org/users/580026/items/ABNLUG3M"],"itemData":{"id":1607,"type":"book","call-number":"ELD.DS.607657","event-place":"London","ISBN":"978-1-78873-878-1","language":"eng","publisher":"Verso","publisher-place":"London","source":"explore.bl.uk","title":"Planet on Fire: A Manifesto for the Age of Environmental Breakdown","title-short":"Planet on Fire","author":[{"family":"Lawrence","given":"Mathew"},{"family":"Laybourn-Langton","given":"Laurie"}],"issued":{"date-parts":[["2021"]]}}}],"schema":"https://github.com/citation-style-language/schema/raw/master/csl-citation.json"} </w:instrText>
            </w:r>
            <w:r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  <w:fldChar w:fldCharType="separate"/>
            </w:r>
            <w:r>
              <w:rPr>
                <w:rStyle w:val="xcontentpasted0"/>
                <w:rFonts w:asciiTheme="minorHAnsi" w:hAnsiTheme="minorHAnsi" w:cstheme="minorHAnsi"/>
                <w:noProof/>
                <w:color w:val="000000"/>
                <w:bdr w:val="none" w:sz="0" w:space="0" w:color="auto" w:frame="1"/>
              </w:rPr>
              <w:t>(Lawrence and Laybourn-Langton 2021)</w:t>
            </w:r>
            <w:r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  <w:fldChar w:fldCharType="end"/>
            </w:r>
            <w:r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. Critically, however, the implementation of Net-Zero agendas, especially from within the Global North, may well have unintended consequences on the social-economic and </w:t>
            </w:r>
            <w:r w:rsidR="00EF719D"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  <w:t>environmental</w:t>
            </w:r>
            <w:r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well-being of the Global South.</w:t>
            </w:r>
          </w:p>
          <w:p w14:paraId="33090B5D" w14:textId="77777777" w:rsidR="00764A7A" w:rsidRDefault="00764A7A" w:rsidP="00764A7A">
            <w:pPr>
              <w:pStyle w:val="xmsonormal"/>
              <w:spacing w:before="0" w:beforeAutospacing="0" w:after="0" w:afterAutospacing="0"/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</w:p>
          <w:p w14:paraId="4D1E6AB0" w14:textId="6BD1D021" w:rsidR="00F55A6A" w:rsidRDefault="00F55A6A" w:rsidP="00F55A6A">
            <w:pPr>
              <w:pStyle w:val="xmsonormal"/>
              <w:spacing w:before="0" w:beforeAutospacing="0" w:after="0" w:afterAutospacing="0"/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When it comes to wind-power, the sites and </w:t>
            </w:r>
            <w:proofErr w:type="spellStart"/>
            <w:r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  <w:t>materialities</w:t>
            </w:r>
            <w:proofErr w:type="spellEnd"/>
            <w:r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of turbine manufacture – including raw material extraction, final assembly and circuits of international finance that underpin the industry – are largely hidden from scrutiny. </w:t>
            </w:r>
          </w:p>
          <w:p w14:paraId="78D709A7" w14:textId="77777777" w:rsidR="00F55A6A" w:rsidRDefault="00F55A6A" w:rsidP="00F55A6A">
            <w:pPr>
              <w:pStyle w:val="xmsonormal"/>
              <w:spacing w:before="0" w:beforeAutospacing="0" w:after="0" w:afterAutospacing="0"/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</w:p>
          <w:p w14:paraId="0A65B2D3" w14:textId="32A1F8A2" w:rsidR="007E05C8" w:rsidRPr="00E0185F" w:rsidRDefault="007E05C8" w:rsidP="00AB331A">
            <w:pPr>
              <w:pStyle w:val="xmsonormal"/>
              <w:spacing w:before="0" w:beforeAutospacing="0" w:after="60" w:afterAutospacing="0"/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  <w:lastRenderedPageBreak/>
              <w:t>This project</w:t>
            </w:r>
            <w:r w:rsidR="00EF719D"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will</w:t>
            </w:r>
            <w:r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illuminate the hidden </w:t>
            </w:r>
            <w:proofErr w:type="spellStart"/>
            <w:r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  <w:t>materialities</w:t>
            </w:r>
            <w:proofErr w:type="spellEnd"/>
            <w:r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and </w:t>
            </w:r>
            <w:proofErr w:type="spellStart"/>
            <w:r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  <w:t>socialities</w:t>
            </w:r>
            <w:proofErr w:type="spellEnd"/>
            <w:r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of wind energy by </w:t>
            </w:r>
            <w:r w:rsidR="00EF719D"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mapping the relationship between its supply chains (i.e. copper, steel, rare earths, concrete) and </w:t>
            </w:r>
            <w:r w:rsidR="00FA1782"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the financial actors and institutions that invest in Net-Zero. </w:t>
            </w:r>
            <w:r w:rsidR="005302F0"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  <w:t>T</w:t>
            </w:r>
            <w:r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he intention is to improve understanding of both Net-Zero generally and wind-power specifically, and inform contemporary policymaking on </w:t>
            </w:r>
            <w:r w:rsidR="00FA1782"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‘just’ </w:t>
            </w:r>
            <w:r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  <w:t>energy transitions.</w:t>
            </w:r>
            <w:r w:rsidR="005302F0"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</w:t>
            </w:r>
          </w:p>
          <w:p w14:paraId="6C9A37B6" w14:textId="77777777" w:rsidR="00F55A6A" w:rsidRDefault="00F55A6A" w:rsidP="00F55A6A">
            <w:pPr>
              <w:pStyle w:val="xmsonormal"/>
              <w:spacing w:before="0" w:beforeAutospacing="0" w:after="0" w:afterAutospacing="0"/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</w:p>
          <w:p w14:paraId="4A108B6C" w14:textId="4885F177" w:rsidR="00AB331A" w:rsidRDefault="00AB331A" w:rsidP="00AB331A">
            <w:pPr>
              <w:pStyle w:val="xmsonormal"/>
              <w:spacing w:before="0" w:beforeAutospacing="0" w:after="120" w:afterAutospacing="0"/>
              <w:rPr>
                <w:rStyle w:val="xcontentpasted0"/>
                <w:rFonts w:asciiTheme="minorHAnsi" w:hAnsiTheme="minorHAnsi" w:cstheme="minorHAnsi"/>
                <w:b/>
                <w:color w:val="000000"/>
                <w:bdr w:val="none" w:sz="0" w:space="0" w:color="auto" w:frame="1"/>
              </w:rPr>
            </w:pPr>
            <w:r>
              <w:rPr>
                <w:rStyle w:val="xcontentpasted0"/>
                <w:rFonts w:asciiTheme="minorHAnsi" w:hAnsiTheme="minorHAnsi" w:cstheme="minorHAnsi"/>
                <w:b/>
                <w:color w:val="000000"/>
                <w:bdr w:val="none" w:sz="0" w:space="0" w:color="auto" w:frame="1"/>
              </w:rPr>
              <w:t>Indicative methodology</w:t>
            </w:r>
          </w:p>
          <w:p w14:paraId="57BEC4DD" w14:textId="54A413A8" w:rsidR="00AB331A" w:rsidRDefault="00AB331A" w:rsidP="00F55A6A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B1210">
              <w:rPr>
                <w:rFonts w:asciiTheme="minorHAnsi" w:hAnsiTheme="minorHAnsi" w:cstheme="minorHAnsi"/>
                <w:color w:val="000000"/>
              </w:rPr>
              <w:t>The project will adopt a mult</w:t>
            </w:r>
            <w:r>
              <w:rPr>
                <w:rFonts w:asciiTheme="minorHAnsi" w:hAnsiTheme="minorHAnsi" w:cstheme="minorHAnsi"/>
                <w:color w:val="000000"/>
              </w:rPr>
              <w:t>i-sited, multi-methods approach</w:t>
            </w:r>
            <w:r w:rsidR="00133B86">
              <w:rPr>
                <w:rFonts w:asciiTheme="minorHAnsi" w:hAnsiTheme="minorHAnsi" w:cstheme="minorHAnsi"/>
                <w:color w:val="000000"/>
              </w:rPr>
              <w:t xml:space="preserve"> through three key phases.</w:t>
            </w:r>
            <w:r>
              <w:rPr>
                <w:rFonts w:asciiTheme="minorHAnsi" w:hAnsiTheme="minorHAnsi" w:cstheme="minorHAnsi"/>
                <w:color w:val="000000"/>
              </w:rPr>
              <w:t xml:space="preserve"> Sites will include those associated with wind power technology’s corporate/strategic operations in London and Aarhus (DK). </w:t>
            </w:r>
          </w:p>
          <w:p w14:paraId="359F3F5B" w14:textId="77777777" w:rsidR="00AB331A" w:rsidRDefault="00AB331A" w:rsidP="00F55A6A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14:paraId="394E539C" w14:textId="3592F2F7" w:rsidR="00AB331A" w:rsidRDefault="00AB331A" w:rsidP="00F55A6A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B03E7F">
              <w:rPr>
                <w:rFonts w:asciiTheme="minorHAnsi" w:hAnsiTheme="minorHAnsi" w:cstheme="minorHAnsi"/>
                <w:b/>
                <w:color w:val="000000"/>
              </w:rPr>
              <w:t>Phase 1</w:t>
            </w:r>
            <w:r>
              <w:rPr>
                <w:rFonts w:asciiTheme="minorHAnsi" w:hAnsiTheme="minorHAnsi" w:cstheme="minorHAnsi"/>
                <w:color w:val="000000"/>
              </w:rPr>
              <w:t xml:space="preserve"> will </w:t>
            </w:r>
            <w:r w:rsidR="00133B86">
              <w:rPr>
                <w:rFonts w:asciiTheme="minorHAnsi" w:hAnsiTheme="minorHAnsi" w:cstheme="minorHAnsi"/>
                <w:color w:val="000000"/>
              </w:rPr>
              <w:t xml:space="preserve">trace wind energy’s circuits of investment by examining the </w:t>
            </w:r>
            <w:r>
              <w:rPr>
                <w:rFonts w:asciiTheme="minorHAnsi" w:hAnsiTheme="minorHAnsi" w:cstheme="minorHAnsi"/>
                <w:color w:val="000000"/>
              </w:rPr>
              <w:t xml:space="preserve">corporations, </w:t>
            </w:r>
            <w:r w:rsidR="00133B86">
              <w:rPr>
                <w:rFonts w:asciiTheme="minorHAnsi" w:hAnsiTheme="minorHAnsi" w:cstheme="minorHAnsi"/>
                <w:color w:val="000000"/>
              </w:rPr>
              <w:t xml:space="preserve">financial </w:t>
            </w:r>
            <w:r>
              <w:rPr>
                <w:rFonts w:asciiTheme="minorHAnsi" w:hAnsiTheme="minorHAnsi" w:cstheme="minorHAnsi"/>
                <w:color w:val="000000"/>
              </w:rPr>
              <w:t>investors, nation-states and other actors who comprise the</w:t>
            </w:r>
            <w:r w:rsidR="00617BE2">
              <w:rPr>
                <w:rFonts w:asciiTheme="minorHAnsi" w:hAnsiTheme="minorHAnsi" w:cstheme="minorHAnsi"/>
                <w:color w:val="000000"/>
              </w:rPr>
              <w:t xml:space="preserve"> wind</w:t>
            </w:r>
            <w:r>
              <w:rPr>
                <w:rFonts w:asciiTheme="minorHAnsi" w:hAnsiTheme="minorHAnsi" w:cstheme="minorHAnsi"/>
                <w:color w:val="000000"/>
              </w:rPr>
              <w:t xml:space="preserve"> industry. Empirical analysis will be conducted on annual reports, financial documents, environmental assessments and policy white papers.</w:t>
            </w:r>
          </w:p>
          <w:p w14:paraId="12B8C377" w14:textId="77777777" w:rsidR="00AB331A" w:rsidRDefault="00AB331A" w:rsidP="00F55A6A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14:paraId="552F7882" w14:textId="37D70BE0" w:rsidR="00AB331A" w:rsidRDefault="00AB331A" w:rsidP="00F55A6A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B03E7F">
              <w:rPr>
                <w:rFonts w:asciiTheme="minorHAnsi" w:hAnsiTheme="minorHAnsi" w:cstheme="minorHAnsi"/>
                <w:b/>
                <w:color w:val="000000"/>
              </w:rPr>
              <w:t>Phase 2</w:t>
            </w:r>
            <w:r>
              <w:rPr>
                <w:rFonts w:asciiTheme="minorHAnsi" w:hAnsiTheme="minorHAnsi" w:cstheme="minorHAnsi"/>
                <w:color w:val="000000"/>
              </w:rPr>
              <w:t xml:space="preserve"> will </w:t>
            </w:r>
            <w:r w:rsidR="00987702">
              <w:rPr>
                <w:rFonts w:asciiTheme="minorHAnsi" w:hAnsiTheme="minorHAnsi" w:cstheme="minorHAnsi"/>
                <w:color w:val="000000"/>
              </w:rPr>
              <w:t xml:space="preserve">comprise ‘key person interviews’ (n. = c 30) with professionals across the </w:t>
            </w:r>
            <w:r w:rsidR="00FA1782">
              <w:rPr>
                <w:rFonts w:asciiTheme="minorHAnsi" w:hAnsiTheme="minorHAnsi" w:cstheme="minorHAnsi"/>
                <w:color w:val="000000"/>
              </w:rPr>
              <w:t>sector</w:t>
            </w:r>
            <w:r w:rsidR="00133B86">
              <w:rPr>
                <w:rFonts w:asciiTheme="minorHAnsi" w:hAnsiTheme="minorHAnsi" w:cstheme="minorHAnsi"/>
                <w:color w:val="000000"/>
              </w:rPr>
              <w:t xml:space="preserve"> in order </w:t>
            </w:r>
            <w:r w:rsidR="00987702">
              <w:rPr>
                <w:rFonts w:asciiTheme="minorHAnsi" w:hAnsiTheme="minorHAnsi" w:cstheme="minorHAnsi"/>
                <w:color w:val="000000"/>
              </w:rPr>
              <w:t xml:space="preserve">to better understand decision-making processes around material procurement, site-location, financial services, investment and social responsibilities within wind energy supply chains. </w:t>
            </w:r>
          </w:p>
          <w:p w14:paraId="356C65AC" w14:textId="77777777" w:rsidR="00987702" w:rsidRDefault="00987702" w:rsidP="00F55A6A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14:paraId="44A8B7AC" w14:textId="5F9D8BE3" w:rsidR="00FA1782" w:rsidRDefault="00987702" w:rsidP="00FA1782">
            <w:pPr>
              <w:pStyle w:val="xmsonormal"/>
              <w:spacing w:before="0" w:beforeAutospacing="0" w:after="0" w:afterAutospacing="0"/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987702">
              <w:rPr>
                <w:rFonts w:asciiTheme="minorHAnsi" w:hAnsiTheme="minorHAnsi" w:cstheme="minorHAnsi"/>
                <w:b/>
                <w:color w:val="000000"/>
              </w:rPr>
              <w:t>Phase 3</w:t>
            </w:r>
            <w:r>
              <w:rPr>
                <w:rFonts w:asciiTheme="minorHAnsi" w:hAnsiTheme="minorHAnsi" w:cstheme="minorHAnsi"/>
                <w:color w:val="000000"/>
              </w:rPr>
              <w:t xml:space="preserve"> will </w:t>
            </w:r>
            <w:r w:rsidR="00FA1782">
              <w:rPr>
                <w:rFonts w:asciiTheme="minorHAnsi" w:hAnsiTheme="minorHAnsi" w:cstheme="minorHAnsi"/>
                <w:color w:val="000000"/>
              </w:rPr>
              <w:t>use GIS to develop</w:t>
            </w:r>
            <w:r>
              <w:rPr>
                <w:rFonts w:asciiTheme="minorHAnsi" w:hAnsiTheme="minorHAnsi" w:cstheme="minorHAnsi"/>
                <w:color w:val="000000"/>
              </w:rPr>
              <w:t xml:space="preserve"> an interactive online map </w:t>
            </w:r>
            <w:r w:rsidR="00FA1782">
              <w:rPr>
                <w:rFonts w:asciiTheme="minorHAnsi" w:hAnsiTheme="minorHAnsi" w:cstheme="minorHAnsi"/>
                <w:color w:val="000000"/>
              </w:rPr>
              <w:t xml:space="preserve">showing how wind energy’s constitutive sites are connected through sites of </w:t>
            </w:r>
            <w:r w:rsidR="00FA1782">
              <w:rPr>
                <w:rStyle w:val="xcontentpasted0"/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investment, extraction, assemblage and generation. </w:t>
            </w:r>
          </w:p>
          <w:p w14:paraId="07108D12" w14:textId="77777777" w:rsidR="00FA65DC" w:rsidRDefault="00FA65DC" w:rsidP="00745670">
            <w:pPr>
              <w:rPr>
                <w:b/>
              </w:rPr>
            </w:pPr>
          </w:p>
        </w:tc>
      </w:tr>
    </w:tbl>
    <w:p w14:paraId="0A4D3174" w14:textId="77777777" w:rsidR="00973B60" w:rsidRDefault="00973B60" w:rsidP="00477FE3">
      <w:pPr>
        <w:spacing w:after="0" w:line="240" w:lineRule="auto"/>
      </w:pPr>
    </w:p>
    <w:sectPr w:rsidR="00973B60" w:rsidSect="00477FE3">
      <w:pgSz w:w="11906" w:h="16838"/>
      <w:pgMar w:top="1276" w:right="1135" w:bottom="709" w:left="1133" w:header="720" w:footer="8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6B27" w14:textId="77777777" w:rsidR="00CC42CE" w:rsidRDefault="00CC42CE" w:rsidP="006E6127">
      <w:pPr>
        <w:spacing w:after="0" w:line="240" w:lineRule="auto"/>
      </w:pPr>
      <w:r>
        <w:separator/>
      </w:r>
    </w:p>
  </w:endnote>
  <w:endnote w:type="continuationSeparator" w:id="0">
    <w:p w14:paraId="178597AC" w14:textId="77777777" w:rsidR="00CC42CE" w:rsidRDefault="00CC42CE" w:rsidP="006E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F7079" w14:textId="77777777" w:rsidR="00CC42CE" w:rsidRDefault="00CC42CE" w:rsidP="006E6127">
      <w:pPr>
        <w:spacing w:after="0" w:line="240" w:lineRule="auto"/>
      </w:pPr>
      <w:r>
        <w:separator/>
      </w:r>
    </w:p>
  </w:footnote>
  <w:footnote w:type="continuationSeparator" w:id="0">
    <w:p w14:paraId="615032E4" w14:textId="77777777" w:rsidR="00CC42CE" w:rsidRDefault="00CC42CE" w:rsidP="006E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D7C"/>
    <w:multiLevelType w:val="hybridMultilevel"/>
    <w:tmpl w:val="2FA65776"/>
    <w:lvl w:ilvl="0" w:tplc="1C7C0DF8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66E3"/>
    <w:multiLevelType w:val="hybridMultilevel"/>
    <w:tmpl w:val="DAA23C18"/>
    <w:lvl w:ilvl="0" w:tplc="D4D6A060">
      <w:start w:val="1"/>
      <w:numFmt w:val="decimal"/>
      <w:lvlText w:val="%1"/>
      <w:lvlJc w:val="left"/>
      <w:pPr>
        <w:ind w:left="1519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3648660">
      <w:numFmt w:val="bullet"/>
      <w:lvlText w:val="•"/>
      <w:lvlJc w:val="left"/>
      <w:pPr>
        <w:ind w:left="2446" w:hanging="360"/>
      </w:pPr>
      <w:rPr>
        <w:rFonts w:hint="default"/>
      </w:rPr>
    </w:lvl>
    <w:lvl w:ilvl="2" w:tplc="B15494D0">
      <w:numFmt w:val="bullet"/>
      <w:lvlText w:val="•"/>
      <w:lvlJc w:val="left"/>
      <w:pPr>
        <w:ind w:left="3373" w:hanging="360"/>
      </w:pPr>
      <w:rPr>
        <w:rFonts w:hint="default"/>
      </w:rPr>
    </w:lvl>
    <w:lvl w:ilvl="3" w:tplc="6F16211E">
      <w:numFmt w:val="bullet"/>
      <w:lvlText w:val="•"/>
      <w:lvlJc w:val="left"/>
      <w:pPr>
        <w:ind w:left="4299" w:hanging="360"/>
      </w:pPr>
      <w:rPr>
        <w:rFonts w:hint="default"/>
      </w:rPr>
    </w:lvl>
    <w:lvl w:ilvl="4" w:tplc="F5043F64">
      <w:numFmt w:val="bullet"/>
      <w:lvlText w:val="•"/>
      <w:lvlJc w:val="left"/>
      <w:pPr>
        <w:ind w:left="5226" w:hanging="360"/>
      </w:pPr>
      <w:rPr>
        <w:rFonts w:hint="default"/>
      </w:rPr>
    </w:lvl>
    <w:lvl w:ilvl="5" w:tplc="6E2AAADE">
      <w:numFmt w:val="bullet"/>
      <w:lvlText w:val="•"/>
      <w:lvlJc w:val="left"/>
      <w:pPr>
        <w:ind w:left="6153" w:hanging="360"/>
      </w:pPr>
      <w:rPr>
        <w:rFonts w:hint="default"/>
      </w:rPr>
    </w:lvl>
    <w:lvl w:ilvl="6" w:tplc="7DE88C6C">
      <w:numFmt w:val="bullet"/>
      <w:lvlText w:val="•"/>
      <w:lvlJc w:val="left"/>
      <w:pPr>
        <w:ind w:left="7079" w:hanging="360"/>
      </w:pPr>
      <w:rPr>
        <w:rFonts w:hint="default"/>
      </w:rPr>
    </w:lvl>
    <w:lvl w:ilvl="7" w:tplc="858252F2">
      <w:numFmt w:val="bullet"/>
      <w:lvlText w:val="•"/>
      <w:lvlJc w:val="left"/>
      <w:pPr>
        <w:ind w:left="8006" w:hanging="360"/>
      </w:pPr>
      <w:rPr>
        <w:rFonts w:hint="default"/>
      </w:rPr>
    </w:lvl>
    <w:lvl w:ilvl="8" w:tplc="6B76EE86">
      <w:numFmt w:val="bullet"/>
      <w:lvlText w:val="•"/>
      <w:lvlJc w:val="left"/>
      <w:pPr>
        <w:ind w:left="8933" w:hanging="360"/>
      </w:pPr>
      <w:rPr>
        <w:rFonts w:hint="default"/>
      </w:rPr>
    </w:lvl>
  </w:abstractNum>
  <w:abstractNum w:abstractNumId="2" w15:restartNumberingAfterBreak="0">
    <w:nsid w:val="1133045E"/>
    <w:multiLevelType w:val="hybridMultilevel"/>
    <w:tmpl w:val="5B065F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0429E"/>
    <w:multiLevelType w:val="hybridMultilevel"/>
    <w:tmpl w:val="F5AA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E6A26"/>
    <w:multiLevelType w:val="hybridMultilevel"/>
    <w:tmpl w:val="D2602CA8"/>
    <w:lvl w:ilvl="0" w:tplc="F54E3C2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C3029"/>
    <w:multiLevelType w:val="hybridMultilevel"/>
    <w:tmpl w:val="A378CD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422D1"/>
    <w:multiLevelType w:val="hybridMultilevel"/>
    <w:tmpl w:val="89FAB0EA"/>
    <w:lvl w:ilvl="0" w:tplc="B518FB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03BEF"/>
    <w:multiLevelType w:val="hybridMultilevel"/>
    <w:tmpl w:val="EC760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F105A"/>
    <w:multiLevelType w:val="hybridMultilevel"/>
    <w:tmpl w:val="EFB812FC"/>
    <w:lvl w:ilvl="0" w:tplc="FC66595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46E70"/>
    <w:multiLevelType w:val="hybridMultilevel"/>
    <w:tmpl w:val="FCA4BD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E6F86"/>
    <w:multiLevelType w:val="hybridMultilevel"/>
    <w:tmpl w:val="F5AA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67E16"/>
    <w:multiLevelType w:val="hybridMultilevel"/>
    <w:tmpl w:val="27A200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22114"/>
    <w:multiLevelType w:val="hybridMultilevel"/>
    <w:tmpl w:val="632C0F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9180D"/>
    <w:multiLevelType w:val="hybridMultilevel"/>
    <w:tmpl w:val="BBD8C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706C6"/>
    <w:multiLevelType w:val="hybridMultilevel"/>
    <w:tmpl w:val="E962D4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3"/>
  </w:num>
  <w:num w:numId="5">
    <w:abstractNumId w:val="6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1"/>
  </w:num>
  <w:num w:numId="12">
    <w:abstractNumId w:val="8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27"/>
    <w:rsid w:val="000362E9"/>
    <w:rsid w:val="000A5FB7"/>
    <w:rsid w:val="000B53E0"/>
    <w:rsid w:val="000D022E"/>
    <w:rsid w:val="000D3A88"/>
    <w:rsid w:val="000D4FBC"/>
    <w:rsid w:val="000E2872"/>
    <w:rsid w:val="000F7117"/>
    <w:rsid w:val="0010106D"/>
    <w:rsid w:val="00133B86"/>
    <w:rsid w:val="00167C0C"/>
    <w:rsid w:val="001A7EBB"/>
    <w:rsid w:val="001B577C"/>
    <w:rsid w:val="001F535B"/>
    <w:rsid w:val="00295395"/>
    <w:rsid w:val="002C5057"/>
    <w:rsid w:val="002E7CF8"/>
    <w:rsid w:val="002F5466"/>
    <w:rsid w:val="00325B09"/>
    <w:rsid w:val="00337001"/>
    <w:rsid w:val="003442F5"/>
    <w:rsid w:val="0035424F"/>
    <w:rsid w:val="003824FA"/>
    <w:rsid w:val="00397A73"/>
    <w:rsid w:val="003A3C98"/>
    <w:rsid w:val="003A7AD7"/>
    <w:rsid w:val="003F3750"/>
    <w:rsid w:val="003F7B87"/>
    <w:rsid w:val="004136DD"/>
    <w:rsid w:val="00435951"/>
    <w:rsid w:val="00437B57"/>
    <w:rsid w:val="004625F6"/>
    <w:rsid w:val="00470634"/>
    <w:rsid w:val="00477FE3"/>
    <w:rsid w:val="004C63D7"/>
    <w:rsid w:val="004C6DE3"/>
    <w:rsid w:val="004E6471"/>
    <w:rsid w:val="00504A1F"/>
    <w:rsid w:val="005149F2"/>
    <w:rsid w:val="00522C7E"/>
    <w:rsid w:val="005302F0"/>
    <w:rsid w:val="00582BA8"/>
    <w:rsid w:val="00594E21"/>
    <w:rsid w:val="005D7571"/>
    <w:rsid w:val="006128FC"/>
    <w:rsid w:val="00617BE2"/>
    <w:rsid w:val="00617D6B"/>
    <w:rsid w:val="006439B9"/>
    <w:rsid w:val="0066474B"/>
    <w:rsid w:val="00665346"/>
    <w:rsid w:val="0066687C"/>
    <w:rsid w:val="00666D0A"/>
    <w:rsid w:val="00675FF9"/>
    <w:rsid w:val="00676971"/>
    <w:rsid w:val="006B70DD"/>
    <w:rsid w:val="006E6127"/>
    <w:rsid w:val="006F25A8"/>
    <w:rsid w:val="00710E3A"/>
    <w:rsid w:val="00751EB7"/>
    <w:rsid w:val="00764A7A"/>
    <w:rsid w:val="00767E71"/>
    <w:rsid w:val="007B63D9"/>
    <w:rsid w:val="007D63D6"/>
    <w:rsid w:val="007E05C8"/>
    <w:rsid w:val="007E5905"/>
    <w:rsid w:val="00801BD4"/>
    <w:rsid w:val="00825D18"/>
    <w:rsid w:val="00830414"/>
    <w:rsid w:val="00841F22"/>
    <w:rsid w:val="00862117"/>
    <w:rsid w:val="00862C2F"/>
    <w:rsid w:val="00862D19"/>
    <w:rsid w:val="0087062A"/>
    <w:rsid w:val="008733B4"/>
    <w:rsid w:val="0088062A"/>
    <w:rsid w:val="00890982"/>
    <w:rsid w:val="00894D36"/>
    <w:rsid w:val="00896337"/>
    <w:rsid w:val="008A58A4"/>
    <w:rsid w:val="008D6E24"/>
    <w:rsid w:val="008F2278"/>
    <w:rsid w:val="008F2AD4"/>
    <w:rsid w:val="00912C2C"/>
    <w:rsid w:val="00960C59"/>
    <w:rsid w:val="00966007"/>
    <w:rsid w:val="00973B60"/>
    <w:rsid w:val="00987702"/>
    <w:rsid w:val="009D4DCA"/>
    <w:rsid w:val="009F1F3E"/>
    <w:rsid w:val="009F3E5F"/>
    <w:rsid w:val="00A02290"/>
    <w:rsid w:val="00A03DCD"/>
    <w:rsid w:val="00A13EF3"/>
    <w:rsid w:val="00A404E6"/>
    <w:rsid w:val="00A45C8A"/>
    <w:rsid w:val="00AB331A"/>
    <w:rsid w:val="00AB7918"/>
    <w:rsid w:val="00AF45A7"/>
    <w:rsid w:val="00AF4B84"/>
    <w:rsid w:val="00B01AB4"/>
    <w:rsid w:val="00B03E7F"/>
    <w:rsid w:val="00B36EBC"/>
    <w:rsid w:val="00B8088B"/>
    <w:rsid w:val="00BA33B5"/>
    <w:rsid w:val="00BB1AFD"/>
    <w:rsid w:val="00C5031A"/>
    <w:rsid w:val="00C72021"/>
    <w:rsid w:val="00CC42CE"/>
    <w:rsid w:val="00D026B5"/>
    <w:rsid w:val="00D15871"/>
    <w:rsid w:val="00D402FB"/>
    <w:rsid w:val="00D5202E"/>
    <w:rsid w:val="00D64813"/>
    <w:rsid w:val="00D74FCA"/>
    <w:rsid w:val="00DA7D0B"/>
    <w:rsid w:val="00E35C41"/>
    <w:rsid w:val="00E37A87"/>
    <w:rsid w:val="00E46198"/>
    <w:rsid w:val="00E541E4"/>
    <w:rsid w:val="00E729F2"/>
    <w:rsid w:val="00E75690"/>
    <w:rsid w:val="00EE33EA"/>
    <w:rsid w:val="00EE5B37"/>
    <w:rsid w:val="00EF719D"/>
    <w:rsid w:val="00EF7466"/>
    <w:rsid w:val="00F44629"/>
    <w:rsid w:val="00F55A6A"/>
    <w:rsid w:val="00F56631"/>
    <w:rsid w:val="00FA1782"/>
    <w:rsid w:val="00FA65DC"/>
    <w:rsid w:val="00FC07AE"/>
    <w:rsid w:val="00FC5BA5"/>
    <w:rsid w:val="00FD2782"/>
    <w:rsid w:val="00F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2399"/>
  <w15:chartTrackingRefBased/>
  <w15:docId w15:val="{3AA656D5-0CBA-49EE-B944-13969B1A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6127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6E6127"/>
    <w:pPr>
      <w:keepNext/>
      <w:keepLines/>
      <w:spacing w:after="0"/>
      <w:ind w:left="10" w:right="380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02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127"/>
    <w:rPr>
      <w:rFonts w:ascii="Calibri" w:eastAsia="Calibri" w:hAnsi="Calibri" w:cs="Calibri"/>
      <w:b/>
      <w:color w:val="000000"/>
      <w:sz w:val="28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6E61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12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12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E6127"/>
    <w:pPr>
      <w:widowControl w:val="0"/>
      <w:autoSpaceDE w:val="0"/>
      <w:autoSpaceDN w:val="0"/>
      <w:spacing w:after="0" w:line="240" w:lineRule="auto"/>
      <w:ind w:left="1239" w:hanging="361"/>
    </w:pPr>
    <w:rPr>
      <w:color w:val="auto"/>
      <w:lang w:val="en-US" w:eastAsia="en-US"/>
    </w:rPr>
  </w:style>
  <w:style w:type="table" w:styleId="TableGrid">
    <w:name w:val="Table Grid"/>
    <w:basedOn w:val="TableNormal"/>
    <w:uiPriority w:val="39"/>
    <w:rsid w:val="006E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27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6E6127"/>
    <w:pPr>
      <w:widowControl w:val="0"/>
      <w:autoSpaceDE w:val="0"/>
      <w:autoSpaceDN w:val="0"/>
      <w:spacing w:after="0" w:line="240" w:lineRule="auto"/>
    </w:pPr>
    <w:rPr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E6127"/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1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127"/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E6127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BA8"/>
    <w:pPr>
      <w:spacing w:after="160"/>
    </w:pPr>
    <w:rPr>
      <w:rFonts w:ascii="Calibri" w:eastAsia="Calibri" w:hAnsi="Calibri" w:cs="Calibri"/>
      <w:b/>
      <w:bCs/>
      <w:color w:val="00000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BA8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82BA8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D022E"/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FA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76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xcontentpasted0">
    <w:name w:val="x_contentpasted0"/>
    <w:basedOn w:val="DefaultParagraphFont"/>
    <w:rsid w:val="00764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419@le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js40@leices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fc2@l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81235-FDF0-3B4A-A6D1-AADBF0A8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Richard M. (Prof.)</dc:creator>
  <cp:keywords/>
  <dc:description/>
  <cp:lastModifiedBy>White, Karen L.</cp:lastModifiedBy>
  <cp:revision>3</cp:revision>
  <dcterms:created xsi:type="dcterms:W3CDTF">2022-11-20T15:00:00Z</dcterms:created>
  <dcterms:modified xsi:type="dcterms:W3CDTF">2022-11-21T12:11:00Z</dcterms:modified>
</cp:coreProperties>
</file>