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0260" w14:textId="77777777" w:rsidR="004E3057" w:rsidRDefault="004E3057" w:rsidP="004E3057">
      <w:pPr>
        <w:spacing w:line="240" w:lineRule="auto"/>
        <w:rPr>
          <w:rFonts w:eastAsiaTheme="minorHAnsi" w:cs="Arial"/>
          <w:b/>
          <w:color w:val="auto"/>
        </w:rPr>
      </w:pPr>
      <w:r>
        <w:rPr>
          <w:rFonts w:cs="Arial"/>
          <w:b/>
        </w:rPr>
        <w:t xml:space="preserve">University of Leicester </w:t>
      </w:r>
    </w:p>
    <w:p w14:paraId="1EA7F3CB" w14:textId="77777777" w:rsidR="004E3057" w:rsidRDefault="004E3057" w:rsidP="004E3057">
      <w:pPr>
        <w:spacing w:line="240" w:lineRule="auto"/>
        <w:rPr>
          <w:rFonts w:ascii="Arial" w:hAnsi="Arial" w:cs="Arial"/>
          <w:b/>
        </w:rPr>
      </w:pPr>
      <w:r>
        <w:rPr>
          <w:rFonts w:cs="Arial"/>
          <w:b/>
        </w:rPr>
        <w:t xml:space="preserve">Future 50  PhD Scholarship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5F1DD456" w:rsidR="00FA65DC" w:rsidRPr="00066C81" w:rsidRDefault="0089568A" w:rsidP="00745670">
            <w:r>
              <w:t>RS Yesilkaya</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7BD607A" w:rsidR="00FA65DC" w:rsidRPr="00066C81" w:rsidRDefault="00525167" w:rsidP="00745670">
            <w:r>
              <w:t xml:space="preserve">Dr </w:t>
            </w:r>
            <w:r w:rsidR="00EB469E">
              <w:t>Hasan Yesilkaya</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6ECB2B09" w:rsidR="00FA65DC" w:rsidRPr="00066C81" w:rsidRDefault="00EB469E" w:rsidP="00745670">
            <w:r>
              <w:t>Life Sciences/Respiratory Sciences</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4BB2B850" w:rsidR="00FA65DC" w:rsidRPr="00066C81" w:rsidRDefault="004E3057" w:rsidP="00745670">
            <w:hyperlink r:id="rId11" w:history="1">
              <w:r w:rsidRPr="009737D7">
                <w:rPr>
                  <w:rStyle w:val="Hyperlink"/>
                </w:rPr>
                <w:t>Hy3@le.ac.uk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43E38DF3" w:rsidR="00FA65DC" w:rsidRPr="00066C81" w:rsidRDefault="00EB469E" w:rsidP="00745670">
            <w:r>
              <w:t>1401</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62F66B43" w:rsidR="00FA65DC" w:rsidRDefault="00525167" w:rsidP="00745670">
            <w:r>
              <w:t xml:space="preserve">Dr </w:t>
            </w:r>
            <w:r w:rsidR="00EB469E">
              <w:t>Primrose Freestone</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5745C126" w:rsidR="00FA65DC" w:rsidRDefault="00EB469E" w:rsidP="00745670">
            <w:r>
              <w:t>Life Sciences/Respiratory Sciences</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0C33F0F4" w:rsidR="00FA65DC" w:rsidRDefault="00EB469E" w:rsidP="00745670">
            <w:r>
              <w:t>ppef1@leicester.ac.uk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5E6E71CF" w:rsidR="00FA65DC" w:rsidRDefault="00EB469E" w:rsidP="00745670">
            <w:r>
              <w:t>5656</w:t>
            </w:r>
          </w:p>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133B004F"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2686D555">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2A461FA7" w14:textId="77777777" w:rsidR="00EB469E" w:rsidRPr="00DF2754" w:rsidRDefault="00EB469E" w:rsidP="00EB469E">
            <w:pPr>
              <w:pStyle w:val="NoSpacing"/>
              <w:widowControl w:val="0"/>
              <w:jc w:val="center"/>
              <w:rPr>
                <w:rFonts w:ascii="Arial" w:hAnsi="Arial" w:cs="Arial"/>
                <w:b/>
                <w:sz w:val="24"/>
              </w:rPr>
            </w:pPr>
            <w:r w:rsidRPr="00306F71">
              <w:rPr>
                <w:rFonts w:ascii="Arial" w:hAnsi="Arial" w:cs="Arial"/>
                <w:b/>
              </w:rPr>
              <w:t>How does host stress transform a commensal to a pathogen?</w:t>
            </w:r>
          </w:p>
          <w:p w14:paraId="57AD6B12" w14:textId="77777777" w:rsidR="00FA65DC" w:rsidRDefault="00FA65DC" w:rsidP="00745670"/>
        </w:tc>
      </w:tr>
      <w:tr w:rsidR="00FA65DC" w14:paraId="2B452CC2" w14:textId="77777777" w:rsidTr="2686D555">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0E1F5C76" w:rsidR="00FA65DC" w:rsidRPr="004D6DEA" w:rsidRDefault="00EB469E" w:rsidP="00745670">
            <w:pPr>
              <w:rPr>
                <w:rFonts w:asciiTheme="minorHAnsi" w:hAnsiTheme="minorHAnsi" w:cstheme="minorHAnsi"/>
              </w:rPr>
            </w:pPr>
            <w:r w:rsidRPr="004D6DEA">
              <w:rPr>
                <w:rFonts w:asciiTheme="minorHAnsi" w:hAnsiTheme="minorHAnsi" w:cstheme="minorHAnsi"/>
              </w:rPr>
              <w:t>Determine how chemical and nutritional factors intersect with stress hormone responses to enable a shift from commensal to an invasive phenotype</w:t>
            </w:r>
          </w:p>
        </w:tc>
      </w:tr>
      <w:tr w:rsidR="00FA65DC" w14:paraId="55CCBDBC" w14:textId="77777777" w:rsidTr="2686D555">
        <w:tc>
          <w:tcPr>
            <w:tcW w:w="1980" w:type="dxa"/>
            <w:vMerge/>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00D7D6B0" w:rsidR="00FA65DC" w:rsidRPr="004D6DEA" w:rsidRDefault="00EB469E" w:rsidP="00745670">
            <w:pPr>
              <w:rPr>
                <w:rFonts w:asciiTheme="minorHAnsi" w:hAnsiTheme="minorHAnsi" w:cstheme="minorHAnsi"/>
              </w:rPr>
            </w:pPr>
            <w:r w:rsidRPr="004D6DEA">
              <w:rPr>
                <w:rFonts w:asciiTheme="minorHAnsi" w:hAnsiTheme="minorHAnsi" w:cstheme="minorHAnsi"/>
              </w:rPr>
              <w:t>Identify the effector and regulatory mechanisms responsive to stress hormones</w:t>
            </w:r>
          </w:p>
        </w:tc>
      </w:tr>
      <w:tr w:rsidR="00FA65DC" w14:paraId="691A2B0B" w14:textId="77777777" w:rsidTr="2686D555">
        <w:tc>
          <w:tcPr>
            <w:tcW w:w="1980" w:type="dxa"/>
            <w:vMerge/>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10ED73C8" w:rsidR="00FA65DC" w:rsidRPr="004D6DEA" w:rsidRDefault="00EB469E" w:rsidP="00745670">
            <w:pPr>
              <w:rPr>
                <w:rFonts w:asciiTheme="minorHAnsi" w:hAnsiTheme="minorHAnsi" w:cstheme="minorHAnsi"/>
              </w:rPr>
            </w:pPr>
            <w:r w:rsidRPr="004D6DEA">
              <w:rPr>
                <w:rFonts w:asciiTheme="minorHAnsi" w:hAnsiTheme="minorHAnsi" w:cstheme="minorHAnsi"/>
              </w:rPr>
              <w:t xml:space="preserve">Evaluate the impact of stress hormones on host response to </w:t>
            </w:r>
            <w:proofErr w:type="spellStart"/>
            <w:r w:rsidRPr="004D6DEA">
              <w:rPr>
                <w:rFonts w:asciiTheme="minorHAnsi" w:hAnsiTheme="minorHAnsi" w:cstheme="minorHAnsi"/>
              </w:rPr>
              <w:t>Spn</w:t>
            </w:r>
            <w:proofErr w:type="spellEnd"/>
            <w:r w:rsidRPr="004D6DEA">
              <w:rPr>
                <w:rFonts w:asciiTheme="minorHAnsi" w:hAnsiTheme="minorHAnsi" w:cstheme="minorHAnsi"/>
              </w:rPr>
              <w:t xml:space="preserve"> and determine the </w:t>
            </w:r>
            <w:r w:rsidRPr="004D6DEA">
              <w:rPr>
                <w:rFonts w:asciiTheme="minorHAnsi" w:hAnsiTheme="minorHAnsi" w:cstheme="minorHAnsi"/>
                <w:i/>
                <w:iCs/>
              </w:rPr>
              <w:t>in vivo </w:t>
            </w:r>
            <w:r w:rsidRPr="004D6DEA">
              <w:rPr>
                <w:rFonts w:asciiTheme="minorHAnsi" w:hAnsiTheme="minorHAnsi" w:cstheme="minorHAnsi"/>
              </w:rPr>
              <w:t>importance of the pneumococcal effector and regulatory mechanisms</w:t>
            </w:r>
          </w:p>
        </w:tc>
      </w:tr>
      <w:tr w:rsidR="00FA65DC" w14:paraId="045BF4FC" w14:textId="77777777" w:rsidTr="2686D555">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2686D555">
        <w:tc>
          <w:tcPr>
            <w:tcW w:w="9016" w:type="dxa"/>
            <w:gridSpan w:val="3"/>
          </w:tcPr>
          <w:p w14:paraId="60DD0C89" w14:textId="03C4BE19" w:rsidR="004D6DEA" w:rsidRDefault="00EB469E" w:rsidP="00745670">
            <w:pPr>
              <w:rPr>
                <w:rFonts w:asciiTheme="minorHAnsi" w:hAnsiTheme="minorHAnsi" w:cstheme="minorHAnsi"/>
                <w:u w:color="000000"/>
                <w:bdr w:val="nil"/>
                <w:lang w:val="en-US"/>
              </w:rPr>
            </w:pPr>
            <w:r w:rsidRPr="007544F8">
              <w:rPr>
                <w:rFonts w:asciiTheme="minorHAnsi" w:hAnsiTheme="minorHAnsi" w:cstheme="minorHAnsi"/>
                <w:u w:color="000000"/>
                <w:bdr w:val="nil"/>
                <w:lang w:val="en-US"/>
              </w:rPr>
              <w:t xml:space="preserve">Stress is a significant pre-disposing contributor and enhancing factor for infectious diseases. Our understanding of the mechanistic basis for the effects of stress is sparse but revolves around the stress hormones’ impact on bacterial and host cells. The identification of mechanisms that allow bacteria to </w:t>
            </w:r>
            <w:proofErr w:type="spellStart"/>
            <w:r w:rsidRPr="007544F8">
              <w:rPr>
                <w:rFonts w:asciiTheme="minorHAnsi" w:hAnsiTheme="minorHAnsi" w:cstheme="minorHAnsi"/>
                <w:u w:color="000000"/>
                <w:bdr w:val="nil"/>
                <w:lang w:val="en-US"/>
              </w:rPr>
              <w:t>recognise</w:t>
            </w:r>
            <w:proofErr w:type="spellEnd"/>
            <w:r w:rsidRPr="007544F8">
              <w:rPr>
                <w:rFonts w:asciiTheme="minorHAnsi" w:hAnsiTheme="minorHAnsi" w:cstheme="minorHAnsi"/>
                <w:u w:color="000000"/>
                <w:bdr w:val="nil"/>
                <w:lang w:val="en-US"/>
              </w:rPr>
              <w:t xml:space="preserve"> and respond to host stress signals is a major advance raising the potential for predicting when individuals are susceptible to infections and for developing therapeutic treatments. Achieving these goals requires an enhanced understanding of the mechanistic basis of pathogen stress responsiveness. Bacterial pathogens can detect and respond to the catecholamine stress hormones, norepinephrine (NE), epinephrine (Epi), and dopamine (Dop). The knowledge of the genetic basis for microbial stress hormone responses is limited. </w:t>
            </w:r>
          </w:p>
          <w:p w14:paraId="03A361F0" w14:textId="696730C3" w:rsidR="006901CE" w:rsidRPr="007544F8" w:rsidRDefault="3F7E5561" w:rsidP="2686D555">
            <w:pPr>
              <w:rPr>
                <w:rFonts w:asciiTheme="minorHAnsi" w:hAnsiTheme="minorHAnsi" w:cstheme="minorBidi"/>
                <w:b/>
                <w:bCs/>
              </w:rPr>
            </w:pPr>
            <w:r w:rsidRPr="2686D555">
              <w:rPr>
                <w:rFonts w:asciiTheme="minorHAnsi" w:hAnsiTheme="minorHAnsi" w:cstheme="minorBidi"/>
                <w:bdr w:val="nil"/>
                <w:lang w:val="en-US"/>
              </w:rPr>
              <w:t xml:space="preserve">Using </w:t>
            </w:r>
            <w:r w:rsidRPr="2686D555">
              <w:rPr>
                <w:rFonts w:asciiTheme="minorHAnsi" w:hAnsiTheme="minorHAnsi" w:cstheme="minorBidi"/>
                <w:i/>
                <w:iCs/>
                <w:bdr w:val="nil"/>
                <w:lang w:val="en-US"/>
              </w:rPr>
              <w:t>Streptococcus pneumoniae</w:t>
            </w:r>
            <w:r w:rsidRPr="2686D555">
              <w:rPr>
                <w:rFonts w:asciiTheme="minorHAnsi" w:hAnsiTheme="minorHAnsi" w:cstheme="minorBidi"/>
                <w:bdr w:val="nil"/>
                <w:lang w:val="en-US"/>
              </w:rPr>
              <w:t xml:space="preserve"> (</w:t>
            </w:r>
            <w:proofErr w:type="spellStart"/>
            <w:r w:rsidRPr="2686D555">
              <w:rPr>
                <w:rFonts w:asciiTheme="minorHAnsi" w:hAnsiTheme="minorHAnsi" w:cstheme="minorBidi"/>
                <w:bdr w:val="nil"/>
                <w:lang w:val="en-US"/>
              </w:rPr>
              <w:t>Spn</w:t>
            </w:r>
            <w:proofErr w:type="spellEnd"/>
            <w:r w:rsidRPr="2686D555">
              <w:rPr>
                <w:rFonts w:asciiTheme="minorHAnsi" w:hAnsiTheme="minorHAnsi" w:cstheme="minorBidi"/>
                <w:bdr w:val="nil"/>
                <w:lang w:val="en-US"/>
              </w:rPr>
              <w:t xml:space="preserve">) as a model system, we have shown that stress hormones increase the rate and yield of pneumococcal </w:t>
            </w:r>
            <w:r w:rsidR="64950FE4" w:rsidRPr="2686D555">
              <w:rPr>
                <w:rFonts w:asciiTheme="minorHAnsi" w:hAnsiTheme="minorHAnsi" w:cstheme="minorBidi"/>
                <w:bdr w:val="nil"/>
                <w:lang w:val="en-US"/>
              </w:rPr>
              <w:t>growth and</w:t>
            </w:r>
            <w:r w:rsidRPr="2686D555">
              <w:rPr>
                <w:rFonts w:asciiTheme="minorHAnsi" w:hAnsiTheme="minorHAnsi" w:cstheme="minorBidi"/>
                <w:bdr w:val="nil"/>
                <w:lang w:val="en-US"/>
              </w:rPr>
              <w:t xml:space="preserve"> reduce capsule production. Critically, NE treatment promotes pneumococcal translocation from the nasopharynx into the lungs. In a major breakthrough</w:t>
            </w:r>
            <w:r w:rsidR="4CC17B31" w:rsidRPr="2686D555">
              <w:rPr>
                <w:rFonts w:asciiTheme="minorHAnsi" w:hAnsiTheme="minorHAnsi" w:cstheme="minorBidi"/>
                <w:bdr w:val="nil"/>
                <w:lang w:val="en-US"/>
              </w:rPr>
              <w:t xml:space="preserve"> (1)</w:t>
            </w:r>
            <w:r w:rsidRPr="2686D555">
              <w:rPr>
                <w:rFonts w:asciiTheme="minorHAnsi" w:hAnsiTheme="minorHAnsi" w:cstheme="minorBidi"/>
                <w:bdr w:val="nil"/>
                <w:lang w:val="en-US"/>
              </w:rPr>
              <w:t>, we have identified TCS09 two-component response regulator responsible for stress hormone recognition in this Gram-positiv</w:t>
            </w:r>
            <w:r w:rsidR="738609CB" w:rsidRPr="2686D555">
              <w:rPr>
                <w:rFonts w:asciiTheme="minorHAnsi" w:hAnsiTheme="minorHAnsi" w:cstheme="minorBidi"/>
                <w:bdr w:val="nil"/>
                <w:lang w:val="en-US"/>
              </w:rPr>
              <w:t>e species</w:t>
            </w:r>
            <w:r w:rsidRPr="2686D555">
              <w:rPr>
                <w:rFonts w:asciiTheme="minorHAnsi" w:hAnsiTheme="minorHAnsi" w:cstheme="minorBidi"/>
                <w:bdr w:val="nil"/>
                <w:lang w:val="en-US"/>
              </w:rPr>
              <w:t xml:space="preserve">. We are now in a position to dissect the key mechanistic details of this interkingdom </w:t>
            </w:r>
            <w:r w:rsidR="2CCD58AC" w:rsidRPr="2686D555">
              <w:rPr>
                <w:rFonts w:asciiTheme="minorHAnsi" w:hAnsiTheme="minorHAnsi" w:cstheme="minorBidi"/>
                <w:bdr w:val="nil"/>
                <w:lang w:val="en-US"/>
              </w:rPr>
              <w:t>signaling</w:t>
            </w:r>
            <w:r w:rsidRPr="2686D555">
              <w:rPr>
                <w:rFonts w:asciiTheme="minorHAnsi" w:hAnsiTheme="minorHAnsi" w:cstheme="minorBidi"/>
                <w:bdr w:val="nil"/>
                <w:lang w:val="en-US"/>
              </w:rPr>
              <w:t xml:space="preserve"> phenomenon and to take a major step forward in understanding how stress induces a heightened propensity to cause disease in a major Gram-positive pathogen. In this study, we will build upon our existing work and test the hypothesis that pneumococcal translocation from the nasopharynx into the lungs is enhanced by stress hormone recognition by a complex genetic network under the environmental conditions of the respiratory tract.</w:t>
            </w:r>
          </w:p>
          <w:p w14:paraId="30FD78D0" w14:textId="62099021" w:rsidR="00FA65DC" w:rsidRPr="004D6DEA" w:rsidRDefault="399BF11F" w:rsidP="2686D555">
            <w:pPr>
              <w:rPr>
                <w:rFonts w:asciiTheme="minorHAnsi" w:hAnsiTheme="minorHAnsi" w:cstheme="minorBidi"/>
              </w:rPr>
            </w:pPr>
            <w:r w:rsidRPr="2686D555">
              <w:rPr>
                <w:rFonts w:asciiTheme="minorHAnsi" w:hAnsiTheme="minorHAnsi" w:cstheme="minorBidi"/>
              </w:rPr>
              <w:t xml:space="preserve">The project will </w:t>
            </w:r>
            <w:r w:rsidR="39FB552A" w:rsidRPr="2686D555">
              <w:rPr>
                <w:rFonts w:asciiTheme="minorHAnsi" w:hAnsiTheme="minorHAnsi" w:cstheme="minorBidi"/>
              </w:rPr>
              <w:t>utilise</w:t>
            </w:r>
            <w:r w:rsidRPr="2686D555">
              <w:rPr>
                <w:rFonts w:asciiTheme="minorHAnsi" w:hAnsiTheme="minorHAnsi" w:cstheme="minorBidi"/>
              </w:rPr>
              <w:t xml:space="preserve"> a wide rang</w:t>
            </w:r>
            <w:r w:rsidR="25375E5E" w:rsidRPr="2686D555">
              <w:rPr>
                <w:rFonts w:asciiTheme="minorHAnsi" w:hAnsiTheme="minorHAnsi" w:cstheme="minorBidi"/>
              </w:rPr>
              <w:t>e of</w:t>
            </w:r>
            <w:r w:rsidRPr="2686D555">
              <w:rPr>
                <w:rFonts w:asciiTheme="minorHAnsi" w:hAnsiTheme="minorHAnsi" w:cstheme="minorBidi"/>
              </w:rPr>
              <w:t xml:space="preserve"> assay platforms including microbiology, molecular biology, cell culture techniques as well as biochemical assays and mouse models of infection. Hence, both from conceptual and methodological perspectives, it offers and excellent opportunity for training. </w:t>
            </w:r>
            <w:r w:rsidR="738609CB" w:rsidRPr="2686D555">
              <w:rPr>
                <w:rFonts w:asciiTheme="minorHAnsi" w:hAnsiTheme="minorHAnsi" w:cstheme="minorBidi"/>
              </w:rPr>
              <w:t xml:space="preserve">This project </w:t>
            </w:r>
            <w:r w:rsidR="4B41695E" w:rsidRPr="2686D555">
              <w:rPr>
                <w:rFonts w:asciiTheme="minorHAnsi" w:hAnsiTheme="minorHAnsi" w:cstheme="minorBidi"/>
              </w:rPr>
              <w:t xml:space="preserve">aims to investigate the biology of </w:t>
            </w:r>
            <w:r w:rsidRPr="2686D555">
              <w:rPr>
                <w:rFonts w:asciiTheme="minorHAnsi" w:hAnsiTheme="minorHAnsi" w:cstheme="minorBidi"/>
              </w:rPr>
              <w:t>a respiratory</w:t>
            </w:r>
            <w:r w:rsidR="4B41695E" w:rsidRPr="2686D555">
              <w:rPr>
                <w:rFonts w:asciiTheme="minorHAnsi" w:hAnsiTheme="minorHAnsi" w:cstheme="minorBidi"/>
              </w:rPr>
              <w:t xml:space="preserve"> pathogen that is the biggest cause of </w:t>
            </w:r>
            <w:r w:rsidR="4B41695E" w:rsidRPr="2686D555">
              <w:rPr>
                <w:rFonts w:asciiTheme="minorHAnsi" w:hAnsiTheme="minorHAnsi" w:cstheme="minorBidi"/>
                <w:b/>
                <w:bCs/>
              </w:rPr>
              <w:t>bacterial</w:t>
            </w:r>
            <w:r w:rsidR="4B41695E" w:rsidRPr="2686D555">
              <w:rPr>
                <w:rFonts w:asciiTheme="minorHAnsi" w:hAnsiTheme="minorHAnsi" w:cstheme="minorBidi"/>
              </w:rPr>
              <w:t xml:space="preserve"> </w:t>
            </w:r>
            <w:r w:rsidR="4B41695E" w:rsidRPr="2686D555">
              <w:rPr>
                <w:rFonts w:asciiTheme="minorHAnsi" w:hAnsiTheme="minorHAnsi" w:cstheme="minorBidi"/>
                <w:b/>
                <w:bCs/>
              </w:rPr>
              <w:t>pneumonia</w:t>
            </w:r>
            <w:r w:rsidR="5D75AD2B" w:rsidRPr="2686D555">
              <w:rPr>
                <w:rFonts w:asciiTheme="minorHAnsi" w:hAnsiTheme="minorHAnsi" w:cstheme="minorBidi"/>
                <w:b/>
                <w:bCs/>
              </w:rPr>
              <w:t xml:space="preserve"> </w:t>
            </w:r>
            <w:r w:rsidR="0FD197B7" w:rsidRPr="2686D555">
              <w:rPr>
                <w:rFonts w:asciiTheme="minorHAnsi" w:hAnsiTheme="minorHAnsi" w:cstheme="minorBidi"/>
              </w:rPr>
              <w:t>focusing</w:t>
            </w:r>
            <w:r w:rsidR="5D75AD2B" w:rsidRPr="2686D555">
              <w:rPr>
                <w:rFonts w:asciiTheme="minorHAnsi" w:hAnsiTheme="minorHAnsi" w:cstheme="minorBidi"/>
              </w:rPr>
              <w:t xml:space="preserve"> on</w:t>
            </w:r>
            <w:r w:rsidR="5D75AD2B" w:rsidRPr="2686D555">
              <w:rPr>
                <w:rFonts w:asciiTheme="minorHAnsi" w:hAnsiTheme="minorHAnsi" w:cstheme="minorBidi"/>
                <w:b/>
                <w:bCs/>
              </w:rPr>
              <w:t xml:space="preserve"> </w:t>
            </w:r>
            <w:r w:rsidR="4B41695E" w:rsidRPr="2686D555">
              <w:rPr>
                <w:rFonts w:asciiTheme="minorHAnsi" w:hAnsiTheme="minorHAnsi" w:cstheme="minorBidi"/>
                <w:b/>
                <w:bCs/>
              </w:rPr>
              <w:t>host-pathogen</w:t>
            </w:r>
            <w:r w:rsidR="4B41695E" w:rsidRPr="2686D555">
              <w:rPr>
                <w:rFonts w:asciiTheme="minorHAnsi" w:hAnsiTheme="minorHAnsi" w:cstheme="minorBidi"/>
              </w:rPr>
              <w:t xml:space="preserve"> </w:t>
            </w:r>
            <w:r w:rsidR="4B41695E" w:rsidRPr="2686D555">
              <w:rPr>
                <w:rFonts w:asciiTheme="minorHAnsi" w:hAnsiTheme="minorHAnsi" w:cstheme="minorBidi"/>
                <w:b/>
                <w:bCs/>
              </w:rPr>
              <w:t>interactions</w:t>
            </w:r>
            <w:r w:rsidR="4B41695E" w:rsidRPr="2686D555">
              <w:rPr>
                <w:rFonts w:asciiTheme="minorHAnsi" w:hAnsiTheme="minorHAnsi" w:cstheme="minorBidi"/>
              </w:rPr>
              <w:t xml:space="preserve"> using </w:t>
            </w:r>
            <w:r w:rsidR="4B41695E" w:rsidRPr="2686D555">
              <w:rPr>
                <w:rFonts w:asciiTheme="minorHAnsi" w:hAnsiTheme="minorHAnsi" w:cstheme="minorBidi"/>
                <w:b/>
                <w:bCs/>
              </w:rPr>
              <w:t>infection models</w:t>
            </w:r>
            <w:r w:rsidR="4B41695E" w:rsidRPr="2686D555">
              <w:rPr>
                <w:rFonts w:asciiTheme="minorHAnsi" w:hAnsiTheme="minorHAnsi" w:cstheme="minorBidi"/>
              </w:rPr>
              <w:t>.</w:t>
            </w:r>
            <w:r w:rsidR="47A6CA35" w:rsidRPr="2686D555">
              <w:rPr>
                <w:rFonts w:asciiTheme="minorHAnsi" w:hAnsiTheme="minorHAnsi" w:cstheme="minorBidi"/>
              </w:rPr>
              <w:t xml:space="preserve"> </w:t>
            </w:r>
          </w:p>
          <w:p w14:paraId="436963F6" w14:textId="2C9BB70D" w:rsidR="2686D555" w:rsidRDefault="2686D555" w:rsidP="2686D555">
            <w:pPr>
              <w:rPr>
                <w:rFonts w:asciiTheme="minorHAnsi" w:hAnsiTheme="minorHAnsi" w:cstheme="minorBidi"/>
              </w:rPr>
            </w:pPr>
          </w:p>
          <w:p w14:paraId="4357351D" w14:textId="4A027FA2" w:rsidR="5ABF778E" w:rsidRDefault="5ABF778E" w:rsidP="2686D555">
            <w:pPr>
              <w:pStyle w:val="ListParagraph"/>
              <w:numPr>
                <w:ilvl w:val="0"/>
                <w:numId w:val="1"/>
              </w:numPr>
            </w:pPr>
            <w:r w:rsidRPr="2686D555">
              <w:rPr>
                <w:rFonts w:asciiTheme="minorHAnsi" w:hAnsiTheme="minorHAnsi" w:cstheme="minorBidi"/>
              </w:rPr>
              <w:t xml:space="preserve">F. </w:t>
            </w:r>
            <w:proofErr w:type="spellStart"/>
            <w:r w:rsidRPr="2686D555">
              <w:rPr>
                <w:rFonts w:asciiTheme="minorHAnsi" w:hAnsiTheme="minorHAnsi" w:cstheme="minorBidi"/>
              </w:rPr>
              <w:t>Alghofaili</w:t>
            </w:r>
            <w:proofErr w:type="spellEnd"/>
            <w:r w:rsidRPr="2686D555">
              <w:rPr>
                <w:rFonts w:asciiTheme="minorHAnsi" w:hAnsiTheme="minorHAnsi" w:cstheme="minorBidi"/>
              </w:rPr>
              <w:t xml:space="preserve"> et al., Host Stress Signals Stimulate Pneumococcal Transition from Colonization to </w:t>
            </w:r>
            <w:r w:rsidRPr="2686D555">
              <w:rPr>
                <w:rFonts w:asciiTheme="minorHAnsi" w:hAnsiTheme="minorHAnsi" w:cstheme="minorBidi"/>
              </w:rPr>
              <w:lastRenderedPageBreak/>
              <w:t>Dissemination into the Lungs 2021 mBio</w:t>
            </w:r>
            <w:r w:rsidR="793D8C53" w:rsidRPr="2686D555">
              <w:rPr>
                <w:rFonts w:asciiTheme="minorHAnsi" w:hAnsiTheme="minorHAnsi" w:cstheme="minorBidi"/>
              </w:rPr>
              <w:t>. DOI: https://doi.org/10.1128/mBio.02569-21.</w:t>
            </w:r>
          </w:p>
          <w:p w14:paraId="07108D12" w14:textId="77777777"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E990" w14:textId="77777777" w:rsidR="002A330E" w:rsidRDefault="002A330E" w:rsidP="006E6127">
      <w:pPr>
        <w:spacing w:after="0" w:line="240" w:lineRule="auto"/>
      </w:pPr>
      <w:r>
        <w:separator/>
      </w:r>
    </w:p>
  </w:endnote>
  <w:endnote w:type="continuationSeparator" w:id="0">
    <w:p w14:paraId="3F5CA6A0" w14:textId="77777777" w:rsidR="002A330E" w:rsidRDefault="002A330E" w:rsidP="006E6127">
      <w:pPr>
        <w:spacing w:after="0" w:line="240" w:lineRule="auto"/>
      </w:pPr>
      <w:r>
        <w:continuationSeparator/>
      </w:r>
    </w:p>
  </w:endnote>
  <w:endnote w:type="continuationNotice" w:id="1">
    <w:p w14:paraId="6C53D361" w14:textId="77777777" w:rsidR="002A330E" w:rsidRDefault="002A3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D708" w14:textId="77777777" w:rsidR="002A330E" w:rsidRDefault="002A330E" w:rsidP="006E6127">
      <w:pPr>
        <w:spacing w:after="0" w:line="240" w:lineRule="auto"/>
      </w:pPr>
      <w:r>
        <w:separator/>
      </w:r>
    </w:p>
  </w:footnote>
  <w:footnote w:type="continuationSeparator" w:id="0">
    <w:p w14:paraId="5C43472A" w14:textId="77777777" w:rsidR="002A330E" w:rsidRDefault="002A330E" w:rsidP="006E6127">
      <w:pPr>
        <w:spacing w:after="0" w:line="240" w:lineRule="auto"/>
      </w:pPr>
      <w:r>
        <w:continuationSeparator/>
      </w:r>
    </w:p>
  </w:footnote>
  <w:footnote w:type="continuationNotice" w:id="1">
    <w:p w14:paraId="5E0E5D43" w14:textId="77777777" w:rsidR="002A330E" w:rsidRDefault="002A33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5A4C"/>
    <w:multiLevelType w:val="hybridMultilevel"/>
    <w:tmpl w:val="CF14DF90"/>
    <w:lvl w:ilvl="0" w:tplc="2042DF90">
      <w:start w:val="1"/>
      <w:numFmt w:val="decimal"/>
      <w:lvlText w:val="%1."/>
      <w:lvlJc w:val="left"/>
      <w:pPr>
        <w:ind w:left="360" w:hanging="360"/>
      </w:pPr>
    </w:lvl>
    <w:lvl w:ilvl="1" w:tplc="28BAAF8E">
      <w:start w:val="1"/>
      <w:numFmt w:val="lowerLetter"/>
      <w:lvlText w:val="%2."/>
      <w:lvlJc w:val="left"/>
      <w:pPr>
        <w:ind w:left="1080" w:hanging="360"/>
      </w:pPr>
    </w:lvl>
    <w:lvl w:ilvl="2" w:tplc="7C4E369C">
      <w:start w:val="1"/>
      <w:numFmt w:val="lowerRoman"/>
      <w:lvlText w:val="%3."/>
      <w:lvlJc w:val="right"/>
      <w:pPr>
        <w:ind w:left="1800" w:hanging="180"/>
      </w:pPr>
    </w:lvl>
    <w:lvl w:ilvl="3" w:tplc="643E0EEA">
      <w:start w:val="1"/>
      <w:numFmt w:val="decimal"/>
      <w:lvlText w:val="%4."/>
      <w:lvlJc w:val="left"/>
      <w:pPr>
        <w:ind w:left="2520" w:hanging="360"/>
      </w:pPr>
    </w:lvl>
    <w:lvl w:ilvl="4" w:tplc="AC0CD970">
      <w:start w:val="1"/>
      <w:numFmt w:val="lowerLetter"/>
      <w:lvlText w:val="%5."/>
      <w:lvlJc w:val="left"/>
      <w:pPr>
        <w:ind w:left="3240" w:hanging="360"/>
      </w:pPr>
    </w:lvl>
    <w:lvl w:ilvl="5" w:tplc="58DA31D4">
      <w:start w:val="1"/>
      <w:numFmt w:val="lowerRoman"/>
      <w:lvlText w:val="%6."/>
      <w:lvlJc w:val="right"/>
      <w:pPr>
        <w:ind w:left="3960" w:hanging="180"/>
      </w:pPr>
    </w:lvl>
    <w:lvl w:ilvl="6" w:tplc="08DE96B4">
      <w:start w:val="1"/>
      <w:numFmt w:val="decimal"/>
      <w:lvlText w:val="%7."/>
      <w:lvlJc w:val="left"/>
      <w:pPr>
        <w:ind w:left="4680" w:hanging="360"/>
      </w:pPr>
    </w:lvl>
    <w:lvl w:ilvl="7" w:tplc="22184548">
      <w:start w:val="1"/>
      <w:numFmt w:val="lowerLetter"/>
      <w:lvlText w:val="%8."/>
      <w:lvlJc w:val="left"/>
      <w:pPr>
        <w:ind w:left="5400" w:hanging="360"/>
      </w:pPr>
    </w:lvl>
    <w:lvl w:ilvl="8" w:tplc="2D74FEDC">
      <w:start w:val="1"/>
      <w:numFmt w:val="lowerRoman"/>
      <w:lvlText w:val="%9."/>
      <w:lvlJc w:val="right"/>
      <w:pPr>
        <w:ind w:left="6120" w:hanging="180"/>
      </w:pPr>
    </w:lvl>
  </w:abstractNum>
  <w:abstractNum w:abstractNumId="1"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3"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2"/>
  </w:num>
  <w:num w:numId="5">
    <w:abstractNumId w:val="14"/>
  </w:num>
  <w:num w:numId="6">
    <w:abstractNumId w:val="7"/>
  </w:num>
  <w:num w:numId="7">
    <w:abstractNumId w:val="13"/>
  </w:num>
  <w:num w:numId="8">
    <w:abstractNumId w:val="3"/>
  </w:num>
  <w:num w:numId="9">
    <w:abstractNumId w:val="5"/>
  </w:num>
  <w:num w:numId="10">
    <w:abstractNumId w:val="6"/>
  </w:num>
  <w:num w:numId="11">
    <w:abstractNumId w:val="15"/>
  </w:num>
  <w:num w:numId="12">
    <w:abstractNumId w:val="2"/>
  </w:num>
  <w:num w:numId="13">
    <w:abstractNumId w:val="9"/>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5BB6"/>
    <w:rsid w:val="001A7EBB"/>
    <w:rsid w:val="001B577C"/>
    <w:rsid w:val="001F535B"/>
    <w:rsid w:val="00295395"/>
    <w:rsid w:val="002A330E"/>
    <w:rsid w:val="002C5057"/>
    <w:rsid w:val="002E7CF8"/>
    <w:rsid w:val="002F02D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D6DEA"/>
    <w:rsid w:val="004E3057"/>
    <w:rsid w:val="004E6471"/>
    <w:rsid w:val="00504A1F"/>
    <w:rsid w:val="005149F2"/>
    <w:rsid w:val="00522C7E"/>
    <w:rsid w:val="00525167"/>
    <w:rsid w:val="00582BA8"/>
    <w:rsid w:val="00594E21"/>
    <w:rsid w:val="005D7571"/>
    <w:rsid w:val="006128FC"/>
    <w:rsid w:val="006439B9"/>
    <w:rsid w:val="0066474B"/>
    <w:rsid w:val="00665346"/>
    <w:rsid w:val="0066687C"/>
    <w:rsid w:val="00666D0A"/>
    <w:rsid w:val="00675FF9"/>
    <w:rsid w:val="00676971"/>
    <w:rsid w:val="006901CE"/>
    <w:rsid w:val="006B70DD"/>
    <w:rsid w:val="006E6127"/>
    <w:rsid w:val="006F25A8"/>
    <w:rsid w:val="00710E3A"/>
    <w:rsid w:val="00751EB7"/>
    <w:rsid w:val="007544F8"/>
    <w:rsid w:val="00767E71"/>
    <w:rsid w:val="007B63D9"/>
    <w:rsid w:val="007E5905"/>
    <w:rsid w:val="00825D18"/>
    <w:rsid w:val="00830414"/>
    <w:rsid w:val="00841F22"/>
    <w:rsid w:val="00862117"/>
    <w:rsid w:val="00862C2F"/>
    <w:rsid w:val="00862D19"/>
    <w:rsid w:val="008733B4"/>
    <w:rsid w:val="0088062A"/>
    <w:rsid w:val="00890982"/>
    <w:rsid w:val="00894D36"/>
    <w:rsid w:val="0089568A"/>
    <w:rsid w:val="00896337"/>
    <w:rsid w:val="008A58A4"/>
    <w:rsid w:val="008D6E24"/>
    <w:rsid w:val="008F2278"/>
    <w:rsid w:val="008F2AD4"/>
    <w:rsid w:val="00912C2C"/>
    <w:rsid w:val="00960C59"/>
    <w:rsid w:val="00966007"/>
    <w:rsid w:val="00973B60"/>
    <w:rsid w:val="009D4DCA"/>
    <w:rsid w:val="009F1F3E"/>
    <w:rsid w:val="009F3E5F"/>
    <w:rsid w:val="00A03DCD"/>
    <w:rsid w:val="00A404E6"/>
    <w:rsid w:val="00A45C8A"/>
    <w:rsid w:val="00A50962"/>
    <w:rsid w:val="00AB5AD2"/>
    <w:rsid w:val="00AB7918"/>
    <w:rsid w:val="00AD635F"/>
    <w:rsid w:val="00AF45A7"/>
    <w:rsid w:val="00AF4B84"/>
    <w:rsid w:val="00B01AB4"/>
    <w:rsid w:val="00B36EBC"/>
    <w:rsid w:val="00BA33B5"/>
    <w:rsid w:val="00C5031A"/>
    <w:rsid w:val="00C67C6C"/>
    <w:rsid w:val="00C72021"/>
    <w:rsid w:val="00C90E3A"/>
    <w:rsid w:val="00D026B5"/>
    <w:rsid w:val="00D15871"/>
    <w:rsid w:val="00D402FB"/>
    <w:rsid w:val="00D5202E"/>
    <w:rsid w:val="00D64813"/>
    <w:rsid w:val="00D74FCA"/>
    <w:rsid w:val="00DA7D0B"/>
    <w:rsid w:val="00E35C41"/>
    <w:rsid w:val="00E37A87"/>
    <w:rsid w:val="00E46198"/>
    <w:rsid w:val="00E541E4"/>
    <w:rsid w:val="00E729F2"/>
    <w:rsid w:val="00E75690"/>
    <w:rsid w:val="00EB469E"/>
    <w:rsid w:val="00EE33EA"/>
    <w:rsid w:val="00EE5B37"/>
    <w:rsid w:val="00EF7466"/>
    <w:rsid w:val="00F44629"/>
    <w:rsid w:val="00F56631"/>
    <w:rsid w:val="00FA65DC"/>
    <w:rsid w:val="00FC07AE"/>
    <w:rsid w:val="00FC5BA5"/>
    <w:rsid w:val="00FD2782"/>
    <w:rsid w:val="00FD3DC8"/>
    <w:rsid w:val="02485269"/>
    <w:rsid w:val="057FF32B"/>
    <w:rsid w:val="0BEF34AF"/>
    <w:rsid w:val="0FD197B7"/>
    <w:rsid w:val="1689D9E8"/>
    <w:rsid w:val="1C0D45FF"/>
    <w:rsid w:val="25375E5E"/>
    <w:rsid w:val="2686D555"/>
    <w:rsid w:val="2C491CD0"/>
    <w:rsid w:val="2CCD58AC"/>
    <w:rsid w:val="2CFE045F"/>
    <w:rsid w:val="31D17582"/>
    <w:rsid w:val="3840B706"/>
    <w:rsid w:val="399BF11F"/>
    <w:rsid w:val="39FB552A"/>
    <w:rsid w:val="3F7E5561"/>
    <w:rsid w:val="47A6CA35"/>
    <w:rsid w:val="4B41695E"/>
    <w:rsid w:val="4CC17B31"/>
    <w:rsid w:val="5ABF778E"/>
    <w:rsid w:val="5D75AD2B"/>
    <w:rsid w:val="64950FE4"/>
    <w:rsid w:val="67B0B1C2"/>
    <w:rsid w:val="738609CB"/>
    <w:rsid w:val="793D8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469E"/>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NoSpacingChar">
    <w:name w:val="No Spacing Char"/>
    <w:basedOn w:val="DefaultParagraphFont"/>
    <w:link w:val="NoSpacing"/>
    <w:uiPriority w:val="1"/>
    <w:rsid w:val="00EB469E"/>
    <w:rPr>
      <w:rFonts w:ascii="Calibri" w:eastAsia="Calibri" w:hAnsi="Calibri" w:cs="Calibri"/>
      <w:color w:val="000000"/>
      <w:u w:color="000000"/>
      <w:bdr w:val="nil"/>
      <w:lang w:val="en-US" w:eastAsia="en-GB"/>
    </w:rPr>
  </w:style>
  <w:style w:type="paragraph" w:styleId="Header">
    <w:name w:val="header"/>
    <w:basedOn w:val="Normal"/>
    <w:link w:val="HeaderChar"/>
    <w:uiPriority w:val="99"/>
    <w:semiHidden/>
    <w:unhideWhenUsed/>
    <w:rsid w:val="00C90E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0E3A"/>
    <w:rPr>
      <w:rFonts w:ascii="Calibri" w:eastAsia="Calibri" w:hAnsi="Calibri" w:cs="Calibri"/>
      <w:color w:val="000000"/>
      <w:lang w:eastAsia="en-GB"/>
    </w:rPr>
  </w:style>
  <w:style w:type="paragraph" w:styleId="Footer">
    <w:name w:val="footer"/>
    <w:basedOn w:val="Normal"/>
    <w:link w:val="FooterChar"/>
    <w:uiPriority w:val="99"/>
    <w:semiHidden/>
    <w:unhideWhenUsed/>
    <w:rsid w:val="00C90E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0E3A"/>
    <w:rPr>
      <w:rFonts w:ascii="Calibri" w:eastAsia="Calibri" w:hAnsi="Calibri" w:cs="Calibri"/>
      <w:color w:val="000000"/>
      <w:lang w:eastAsia="en-GB"/>
    </w:rPr>
  </w:style>
  <w:style w:type="character" w:styleId="UnresolvedMention">
    <w:name w:val="Unresolved Mention"/>
    <w:basedOn w:val="DefaultParagraphFont"/>
    <w:uiPriority w:val="99"/>
    <w:semiHidden/>
    <w:unhideWhenUsed/>
    <w:rsid w:val="004E3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876">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y3@le.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D8611-0DEA-4E96-A9FE-A39A2A6B8E3F}">
  <ds:schemaRefs>
    <ds:schemaRef ds:uri="http://schemas.microsoft.com/sharepoint/v3/contenttype/forms"/>
  </ds:schemaRefs>
</ds:datastoreItem>
</file>

<file path=customXml/itemProps2.xml><?xml version="1.0" encoding="utf-8"?>
<ds:datastoreItem xmlns:ds="http://schemas.openxmlformats.org/officeDocument/2006/customXml" ds:itemID="{EEB672FA-3521-46FD-BEB3-56FE09A5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F3F80-DC42-40F1-9E50-E417799B316D}">
  <ds:schemaRefs>
    <ds:schemaRef ds:uri="http://schemas.openxmlformats.org/officeDocument/2006/bibliography"/>
  </ds:schemaRefs>
</ds:datastoreItem>
</file>

<file path=customXml/itemProps4.xml><?xml version="1.0" encoding="utf-8"?>
<ds:datastoreItem xmlns:ds="http://schemas.openxmlformats.org/officeDocument/2006/customXml" ds:itemID="{BA601C79-52F1-44D9-8DAA-027A46F2DD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2919</Characters>
  <Application>Microsoft Office Word</Application>
  <DocSecurity>0</DocSecurity>
  <Lines>24</Lines>
  <Paragraphs>6</Paragraphs>
  <ScaleCrop>false</ScaleCrop>
  <Company>University of Leicester</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2022-11-20T13:54:00Z</dcterms:created>
  <dcterms:modified xsi:type="dcterms:W3CDTF">2022-11-21T12:07:00Z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