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28FD" w14:textId="77777777" w:rsidR="009F6BCB" w:rsidRDefault="009F6BCB" w:rsidP="009F6BCB">
      <w:pPr>
        <w:spacing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University of Leicester </w:t>
      </w:r>
    </w:p>
    <w:p w14:paraId="51E04049" w14:textId="77777777" w:rsidR="009F6BCB" w:rsidRDefault="009F6BCB" w:rsidP="009F6BCB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Future 50  PhD Scholarship </w:t>
      </w:r>
    </w:p>
    <w:p w14:paraId="0DE82DD6" w14:textId="4724A158" w:rsid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634E79B2" w14:textId="549F7B81" w:rsidR="00F96256" w:rsidRDefault="00F96256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9206A" w:rsidRPr="0039206A" w14:paraId="1AB296DC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2AE23B09" w:rsidR="0039206A" w:rsidRPr="0039206A" w:rsidRDefault="004730B7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PVS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en-GB"/>
              </w:rPr>
              <w:t>Postavaru</w:t>
            </w:r>
            <w:proofErr w:type="spellEnd"/>
          </w:p>
        </w:tc>
      </w:tr>
    </w:tbl>
    <w:p w14:paraId="505228F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39206A" w:rsidRPr="0039206A" w14:paraId="6B67D973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A5AE09D" w14:textId="45854AC4" w:rsidR="0039206A" w:rsidRPr="0039206A" w:rsidRDefault="00C92C0B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Dr </w:t>
            </w:r>
            <w:proofErr w:type="spellStart"/>
            <w:r w:rsidR="001D6271">
              <w:rPr>
                <w:rFonts w:ascii="Calibri" w:eastAsia="Calibri" w:hAnsi="Calibri" w:cs="Calibri"/>
                <w:color w:val="000000"/>
                <w:lang w:eastAsia="en-GB"/>
              </w:rPr>
              <w:t>Gianina</w:t>
            </w:r>
            <w:proofErr w:type="spellEnd"/>
            <w:r w:rsidR="001D6271">
              <w:rPr>
                <w:rFonts w:ascii="Calibri" w:eastAsia="Calibri" w:hAnsi="Calibri" w:cs="Calibri"/>
                <w:color w:val="000000"/>
                <w:lang w:eastAsia="en-GB"/>
              </w:rPr>
              <w:t xml:space="preserve">-Ioana </w:t>
            </w:r>
            <w:proofErr w:type="spellStart"/>
            <w:r w:rsidR="001D6271">
              <w:rPr>
                <w:rFonts w:ascii="Calibri" w:eastAsia="Calibri" w:hAnsi="Calibri" w:cs="Calibri"/>
                <w:color w:val="000000"/>
                <w:lang w:eastAsia="en-GB"/>
              </w:rPr>
              <w:t>Postavaru</w:t>
            </w:r>
            <w:proofErr w:type="spellEnd"/>
          </w:p>
        </w:tc>
      </w:tr>
      <w:tr w:rsidR="0039206A" w:rsidRPr="0039206A" w14:paraId="304F823A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79FD147C" w:rsidR="0039206A" w:rsidRPr="0039206A" w:rsidRDefault="0054555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545552">
              <w:rPr>
                <w:rFonts w:ascii="Calibri" w:eastAsia="Calibri" w:hAnsi="Calibri" w:cs="Calibri"/>
                <w:color w:val="000000"/>
                <w:lang w:eastAsia="en-GB"/>
              </w:rPr>
              <w:t>School of Psychology and Vision Sciences</w:t>
            </w:r>
          </w:p>
        </w:tc>
      </w:tr>
      <w:tr w:rsidR="0039206A" w:rsidRPr="0039206A" w14:paraId="6017FF4B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3FEC5E19" w14:textId="356772CB" w:rsidR="0039206A" w:rsidRPr="0039206A" w:rsidRDefault="009F6BCB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8" w:history="1">
              <w:r w:rsidRPr="00072160">
                <w:rPr>
                  <w:rStyle w:val="Hyperlink"/>
                  <w:rFonts w:ascii="Calibri" w:eastAsia="Calibri" w:hAnsi="Calibri" w:cs="Calibri"/>
                  <w:lang w:eastAsia="en-GB"/>
                </w:rPr>
                <w:t>Gp259@le.ac.uk</w:t>
              </w:r>
            </w:hyperlink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E2BF8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13A9D7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9206A" w:rsidRPr="0039206A" w14:paraId="57596EAD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75C9DC5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5C161CBD" w14:textId="7099640A" w:rsidR="0039206A" w:rsidRPr="0039206A" w:rsidRDefault="009C77B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 Ruth Hatcher</w:t>
            </w:r>
          </w:p>
        </w:tc>
      </w:tr>
      <w:tr w:rsidR="0039206A" w:rsidRPr="0039206A" w14:paraId="19CCB21F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1F19DFD0" w:rsidR="0039206A" w:rsidRPr="0039206A" w:rsidRDefault="009C77B8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9C77B8">
              <w:rPr>
                <w:rFonts w:ascii="Calibri" w:eastAsia="Calibri" w:hAnsi="Calibri" w:cs="Calibri"/>
                <w:color w:val="000000"/>
                <w:lang w:eastAsia="en-GB"/>
              </w:rPr>
              <w:t>School of Psychology and Vision Sciences</w:t>
            </w:r>
          </w:p>
        </w:tc>
      </w:tr>
      <w:tr w:rsidR="0039206A" w:rsidRPr="0039206A" w14:paraId="2FD12115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49191D64" w:rsidR="0039206A" w:rsidRPr="0039206A" w:rsidRDefault="00C7575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C75752">
              <w:rPr>
                <w:rFonts w:ascii="Calibri" w:eastAsia="Calibri" w:hAnsi="Calibri" w:cs="Calibri"/>
                <w:color w:val="000000"/>
                <w:lang w:eastAsia="en-GB"/>
              </w:rPr>
              <w:t>rmh12@le.ac.uk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482ED961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149E23C4" w14:textId="08BE808D" w:rsidR="00A725A3" w:rsidRPr="0039206A" w:rsidRDefault="00633D0C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33D0C">
              <w:rPr>
                <w:rFonts w:ascii="Calibri" w:eastAsia="Calibri" w:hAnsi="Calibri" w:cs="Calibri"/>
                <w:color w:val="000000"/>
                <w:lang w:eastAsia="en-GB"/>
              </w:rPr>
              <w:t>Dr Harriet Walter</w:t>
            </w:r>
            <w:r w:rsidR="00A725A3">
              <w:rPr>
                <w:rFonts w:ascii="Calibri" w:eastAsia="Calibri" w:hAnsi="Calibri" w:cs="Calibri"/>
                <w:color w:val="000000"/>
                <w:lang w:eastAsia="en-GB"/>
              </w:rPr>
              <w:t xml:space="preserve">, </w:t>
            </w:r>
            <w:r w:rsidR="00A725A3" w:rsidRPr="00A725A3">
              <w:rPr>
                <w:rFonts w:ascii="Calibri" w:eastAsia="Calibri" w:hAnsi="Calibri" w:cs="Calibri"/>
                <w:color w:val="000000"/>
                <w:lang w:eastAsia="en-GB"/>
              </w:rPr>
              <w:t>Leicester Cancer Research Centre / Genetics and Genome Biology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135DECE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39206A" w:rsidRPr="0039206A" w14:paraId="5C7F2245" w14:textId="77777777" w:rsidTr="0739AF2B"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2F4A7D04" w:rsidR="0039206A" w:rsidRPr="0039206A" w:rsidRDefault="00963BF0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963BF0">
              <w:rPr>
                <w:rFonts w:ascii="Calibri" w:eastAsia="Calibri" w:hAnsi="Calibri" w:cs="Calibri"/>
                <w:color w:val="000000"/>
                <w:lang w:eastAsia="en-GB"/>
              </w:rPr>
              <w:t xml:space="preserve">Use of the Theoretical Domains Framework and </w:t>
            </w:r>
            <w:r w:rsidR="004A22E2">
              <w:rPr>
                <w:rFonts w:ascii="Calibri" w:eastAsia="Calibri" w:hAnsi="Calibri" w:cs="Calibri"/>
                <w:color w:val="000000"/>
                <w:lang w:eastAsia="en-GB"/>
              </w:rPr>
              <w:t xml:space="preserve">the </w:t>
            </w:r>
            <w:r w:rsidRPr="00963BF0">
              <w:rPr>
                <w:rFonts w:ascii="Calibri" w:eastAsia="Calibri" w:hAnsi="Calibri" w:cs="Calibri"/>
                <w:color w:val="000000"/>
                <w:lang w:eastAsia="en-GB"/>
              </w:rPr>
              <w:t>Behaviour Change Wheel to co-develop a culturally sensitive intervention to improve healthcare decision</w:t>
            </w:r>
            <w:r w:rsidR="001B5E91">
              <w:rPr>
                <w:rFonts w:ascii="Calibri" w:eastAsia="Calibri" w:hAnsi="Calibri" w:cs="Calibri"/>
                <w:color w:val="000000"/>
                <w:lang w:eastAsia="en-GB"/>
              </w:rPr>
              <w:t>-</w:t>
            </w:r>
            <w:r w:rsidRPr="00963BF0">
              <w:rPr>
                <w:rFonts w:ascii="Calibri" w:eastAsia="Calibri" w:hAnsi="Calibri" w:cs="Calibri"/>
                <w:color w:val="000000"/>
                <w:lang w:eastAsia="en-GB"/>
              </w:rPr>
              <w:t>making in recently diagnosed cancer patients from South-Asian communities</w:t>
            </w:r>
          </w:p>
        </w:tc>
      </w:tr>
      <w:tr w:rsidR="0039206A" w:rsidRPr="0039206A" w14:paraId="0BA24187" w14:textId="77777777" w:rsidTr="0739AF2B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4975BB34" w:rsidR="005178B0" w:rsidRPr="0039206A" w:rsidRDefault="00D54E58" w:rsidP="005178B0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D54E58">
              <w:rPr>
                <w:rFonts w:ascii="Calibri" w:eastAsia="Calibri" w:hAnsi="Calibri" w:cs="Calibri"/>
                <w:color w:val="000000"/>
                <w:lang w:eastAsia="en-GB"/>
              </w:rPr>
              <w:t>The candidate will work at the interface of psychological, clinical</w:t>
            </w:r>
            <w:r w:rsidR="00D35828">
              <w:rPr>
                <w:rFonts w:ascii="Calibri" w:eastAsia="Calibri" w:hAnsi="Calibri" w:cs="Calibri"/>
                <w:color w:val="000000"/>
                <w:lang w:eastAsia="en-GB"/>
              </w:rPr>
              <w:t>, behavioural science</w:t>
            </w:r>
            <w:r w:rsidRPr="00D54E58">
              <w:rPr>
                <w:rFonts w:ascii="Calibri" w:eastAsia="Calibri" w:hAnsi="Calibri" w:cs="Calibri"/>
                <w:color w:val="000000"/>
                <w:lang w:eastAsia="en-GB"/>
              </w:rPr>
              <w:t xml:space="preserve"> and knowledge translation methods to investigate</w:t>
            </w:r>
            <w:r w:rsidR="009A53D7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C87D8E">
              <w:rPr>
                <w:rFonts w:ascii="Calibri" w:eastAsia="Calibri" w:hAnsi="Calibri" w:cs="Calibri"/>
                <w:color w:val="000000"/>
                <w:lang w:eastAsia="en-GB"/>
              </w:rPr>
              <w:t xml:space="preserve">patient decision-making </w:t>
            </w:r>
            <w:r w:rsidR="008A6F23">
              <w:rPr>
                <w:rFonts w:ascii="Calibri" w:eastAsia="Calibri" w:hAnsi="Calibri" w:cs="Calibri"/>
                <w:color w:val="000000"/>
                <w:lang w:eastAsia="en-GB"/>
              </w:rPr>
              <w:t>across</w:t>
            </w:r>
            <w:r w:rsidR="00574A19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0419C6">
              <w:rPr>
                <w:rFonts w:ascii="Calibri" w:eastAsia="Calibri" w:hAnsi="Calibri" w:cs="Calibri"/>
                <w:color w:val="000000"/>
                <w:lang w:eastAsia="en-GB"/>
              </w:rPr>
              <w:t xml:space="preserve">cancer </w:t>
            </w:r>
            <w:r w:rsidR="00F3077D">
              <w:rPr>
                <w:rFonts w:ascii="Calibri" w:eastAsia="Calibri" w:hAnsi="Calibri" w:cs="Calibri"/>
                <w:color w:val="000000"/>
                <w:lang w:eastAsia="en-GB"/>
              </w:rPr>
              <w:t>ca</w:t>
            </w:r>
            <w:r w:rsidR="004F1BE8">
              <w:rPr>
                <w:rFonts w:ascii="Calibri" w:eastAsia="Calibri" w:hAnsi="Calibri" w:cs="Calibri"/>
                <w:color w:val="000000"/>
                <w:lang w:eastAsia="en-GB"/>
              </w:rPr>
              <w:t>re pathway.</w:t>
            </w:r>
          </w:p>
        </w:tc>
      </w:tr>
      <w:tr w:rsidR="0039206A" w:rsidRPr="0039206A" w14:paraId="386423AB" w14:textId="77777777" w:rsidTr="0739AF2B">
        <w:tc>
          <w:tcPr>
            <w:tcW w:w="1980" w:type="dxa"/>
            <w:vMerge/>
          </w:tcPr>
          <w:p w14:paraId="6AB887F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62001942" w:rsidR="0039206A" w:rsidRPr="0039206A" w:rsidRDefault="0065033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</w:t>
            </w:r>
            <w:r w:rsidRPr="0065033F">
              <w:rPr>
                <w:rFonts w:ascii="Calibri" w:eastAsia="Calibri" w:hAnsi="Calibri" w:cs="Calibri"/>
                <w:color w:val="000000"/>
                <w:lang w:eastAsia="en-GB"/>
              </w:rPr>
              <w:t xml:space="preserve">o-design of the intervention </w:t>
            </w:r>
            <w:r w:rsidR="00956BEA" w:rsidRPr="00956BEA">
              <w:rPr>
                <w:rFonts w:ascii="Calibri" w:eastAsia="Calibri" w:hAnsi="Calibri" w:cs="Calibri"/>
                <w:color w:val="000000"/>
                <w:lang w:eastAsia="en-GB"/>
              </w:rPr>
              <w:t>addressing NHS priorities</w:t>
            </w:r>
            <w:r w:rsidR="00F47DF2">
              <w:rPr>
                <w:rFonts w:ascii="Calibri" w:eastAsia="Calibri" w:hAnsi="Calibri" w:cs="Calibri"/>
                <w:color w:val="000000"/>
                <w:lang w:eastAsia="en-GB"/>
              </w:rPr>
              <w:t xml:space="preserve">. </w:t>
            </w:r>
            <w:r w:rsidR="0097237E">
              <w:rPr>
                <w:rFonts w:ascii="Calibri" w:eastAsia="Calibri" w:hAnsi="Calibri" w:cs="Calibri"/>
                <w:color w:val="000000"/>
                <w:lang w:eastAsia="en-GB"/>
              </w:rPr>
              <w:t>T</w:t>
            </w:r>
            <w:r w:rsidR="00DA3DF6" w:rsidRPr="00DA3DF6">
              <w:rPr>
                <w:rFonts w:ascii="Calibri" w:eastAsia="Calibri" w:hAnsi="Calibri" w:cs="Calibri"/>
                <w:color w:val="000000"/>
                <w:lang w:eastAsia="en-GB"/>
              </w:rPr>
              <w:t>he project will sit at the forefront of personalised medicine with potential for societal benefit, both locally and globally</w:t>
            </w:r>
            <w:r w:rsidR="008D0FAA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</w:tr>
      <w:tr w:rsidR="0039206A" w:rsidRPr="0039206A" w14:paraId="55C3CAE0" w14:textId="77777777" w:rsidTr="0739AF2B">
        <w:tc>
          <w:tcPr>
            <w:tcW w:w="1980" w:type="dxa"/>
            <w:vMerge/>
          </w:tcPr>
          <w:p w14:paraId="74B92EE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44439C3E" w:rsidR="00FC5F2B" w:rsidRPr="0039206A" w:rsidRDefault="00520415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The candidate will embark on</w:t>
            </w:r>
            <w:r w:rsidR="00FC5F2B" w:rsidRPr="00FC5F2B">
              <w:rPr>
                <w:rFonts w:ascii="Calibri" w:eastAsia="Calibri" w:hAnsi="Calibri" w:cs="Calibri"/>
                <w:color w:val="000000"/>
                <w:lang w:eastAsia="en-GB"/>
              </w:rPr>
              <w:t xml:space="preserve"> a </w:t>
            </w:r>
            <w:r w:rsidR="001D1D4C">
              <w:rPr>
                <w:rFonts w:ascii="Calibri" w:eastAsia="Calibri" w:hAnsi="Calibri" w:cs="Calibri"/>
                <w:color w:val="000000"/>
                <w:lang w:eastAsia="en-GB"/>
              </w:rPr>
              <w:t>multidisciplinary</w:t>
            </w:r>
            <w:r w:rsidR="006838DA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FC5F2B" w:rsidRPr="00FC5F2B">
              <w:rPr>
                <w:rFonts w:ascii="Calibri" w:eastAsia="Calibri" w:hAnsi="Calibri" w:cs="Calibri"/>
                <w:color w:val="000000"/>
                <w:lang w:eastAsia="en-GB"/>
              </w:rPr>
              <w:t xml:space="preserve">collaboration </w:t>
            </w:r>
            <w:r w:rsidR="004A2CFF">
              <w:rPr>
                <w:rFonts w:ascii="Calibri" w:eastAsia="Calibri" w:hAnsi="Calibri" w:cs="Calibri"/>
                <w:color w:val="000000"/>
                <w:lang w:eastAsia="en-GB"/>
              </w:rPr>
              <w:t xml:space="preserve">between national and local stakeholders </w:t>
            </w:r>
            <w:r w:rsidR="001D1D4C">
              <w:rPr>
                <w:rFonts w:ascii="Calibri" w:eastAsia="Calibri" w:hAnsi="Calibri" w:cs="Calibri"/>
                <w:color w:val="000000"/>
                <w:lang w:eastAsia="en-GB"/>
              </w:rPr>
              <w:t>to address</w:t>
            </w:r>
            <w:r w:rsidR="00FC5F2B" w:rsidRPr="00FC5F2B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5E2CF4">
              <w:rPr>
                <w:rFonts w:ascii="Calibri" w:eastAsia="Calibri" w:hAnsi="Calibri" w:cs="Calibri"/>
                <w:color w:val="000000"/>
                <w:lang w:eastAsia="en-GB"/>
              </w:rPr>
              <w:t>a</w:t>
            </w:r>
            <w:r w:rsidR="001D1D4C">
              <w:rPr>
                <w:rFonts w:ascii="Calibri" w:eastAsia="Calibri" w:hAnsi="Calibri" w:cs="Calibri"/>
                <w:color w:val="000000"/>
                <w:lang w:eastAsia="en-GB"/>
              </w:rPr>
              <w:t xml:space="preserve"> significant</w:t>
            </w:r>
            <w:r w:rsidR="00FC5F2B" w:rsidRPr="00FC5F2B">
              <w:rPr>
                <w:rFonts w:ascii="Calibri" w:eastAsia="Calibri" w:hAnsi="Calibri" w:cs="Calibri"/>
                <w:color w:val="000000"/>
                <w:lang w:eastAsia="en-GB"/>
              </w:rPr>
              <w:t xml:space="preserve"> unmet need around </w:t>
            </w:r>
            <w:r w:rsidR="00574E53">
              <w:rPr>
                <w:rFonts w:ascii="Calibri" w:eastAsia="Calibri" w:hAnsi="Calibri" w:cs="Calibri"/>
                <w:color w:val="000000"/>
                <w:lang w:eastAsia="en-GB"/>
              </w:rPr>
              <w:t>Equality, Diversity and</w:t>
            </w:r>
            <w:r w:rsidR="000E3A6F">
              <w:rPr>
                <w:rFonts w:ascii="Calibri" w:eastAsia="Calibri" w:hAnsi="Calibri" w:cs="Calibri"/>
                <w:color w:val="000000"/>
                <w:lang w:eastAsia="en-GB"/>
              </w:rPr>
              <w:t xml:space="preserve"> Inclusion (EDI)</w:t>
            </w:r>
            <w:r w:rsidR="00FC5F2B" w:rsidRPr="00FC5F2B">
              <w:rPr>
                <w:rFonts w:ascii="Calibri" w:eastAsia="Calibri" w:hAnsi="Calibri" w:cs="Calibri"/>
                <w:color w:val="000000"/>
                <w:lang w:eastAsia="en-GB"/>
              </w:rPr>
              <w:t xml:space="preserve"> in cancer </w:t>
            </w:r>
            <w:r w:rsidR="006838DA">
              <w:rPr>
                <w:rFonts w:ascii="Calibri" w:eastAsia="Calibri" w:hAnsi="Calibri" w:cs="Calibri"/>
                <w:color w:val="000000"/>
                <w:lang w:eastAsia="en-GB"/>
              </w:rPr>
              <w:t>healthcare provision</w:t>
            </w:r>
            <w:r w:rsidR="00F4135E">
              <w:rPr>
                <w:rFonts w:ascii="Calibri" w:eastAsia="Calibri" w:hAnsi="Calibri" w:cs="Calibri"/>
                <w:color w:val="000000"/>
                <w:lang w:eastAsia="en-GB"/>
              </w:rPr>
              <w:t>.</w:t>
            </w:r>
          </w:p>
        </w:tc>
      </w:tr>
      <w:tr w:rsidR="0039206A" w:rsidRPr="0039206A" w14:paraId="78C09C5D" w14:textId="77777777" w:rsidTr="0739AF2B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39206A" w:rsidRPr="0039206A" w14:paraId="0BAB11B3" w14:textId="77777777" w:rsidTr="0739AF2B">
        <w:trPr>
          <w:trHeight w:val="11820"/>
        </w:trPr>
        <w:tc>
          <w:tcPr>
            <w:tcW w:w="9016" w:type="dxa"/>
            <w:gridSpan w:val="3"/>
          </w:tcPr>
          <w:p w14:paraId="4261BF8A" w14:textId="77777777" w:rsidR="00997241" w:rsidRPr="00997241" w:rsidRDefault="00997241" w:rsidP="00997241">
            <w:pPr>
              <w:spacing w:line="259" w:lineRule="auto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lastRenderedPageBreak/>
              <w:t xml:space="preserve">In 2019, of cancer cases registered by the Leicester Clinical Commissioning Group, 25% pertained to South Asian (SA) patients. Whilst cancer incidence is lower than in White populations, 45% of symptomatic patients delay initial appointments (Rajan et al., 2011; </w:t>
            </w:r>
            <w:proofErr w:type="spellStart"/>
            <w:r w:rsidRPr="00997241">
              <w:rPr>
                <w:rFonts w:ascii="Calibri" w:eastAsia="Calibri" w:hAnsi="Calibri" w:cs="Calibri"/>
              </w:rPr>
              <w:t>Giurca</w:t>
            </w:r>
            <w:proofErr w:type="spellEnd"/>
            <w:r w:rsidRPr="00997241">
              <w:rPr>
                <w:rFonts w:ascii="Calibri" w:eastAsia="Calibri" w:hAnsi="Calibri" w:cs="Calibri"/>
              </w:rPr>
              <w:t xml:space="preserve"> et al., 2018). This results in more advanced disease at diagnosis and may contribute to the UK’s poorer cancer outcomes. Poorer experience of cancer care is consistently reported in ethnic minority groups; the reasons for this are complex and unclear (</w:t>
            </w:r>
            <w:proofErr w:type="spellStart"/>
            <w:r w:rsidRPr="00997241">
              <w:rPr>
                <w:rFonts w:ascii="Calibri" w:eastAsia="Calibri" w:hAnsi="Calibri" w:cs="Calibri"/>
              </w:rPr>
              <w:t>Gathani</w:t>
            </w:r>
            <w:proofErr w:type="spellEnd"/>
            <w:r w:rsidRPr="00997241">
              <w:rPr>
                <w:rFonts w:ascii="Calibri" w:eastAsia="Calibri" w:hAnsi="Calibri" w:cs="Calibri"/>
              </w:rPr>
              <w:t xml:space="preserve"> et al., 2021). Previous research highlighted low health literacy, community</w:t>
            </w:r>
            <w:r w:rsidRPr="00997241">
              <w:rPr>
                <w:rFonts w:ascii="Calibri" w:eastAsia="Calibri" w:hAnsi="Calibri" w:cs="Calibri"/>
                <w:color w:val="000000"/>
              </w:rPr>
              <w:t xml:space="preserve"> awareness</w:t>
            </w:r>
            <w:r w:rsidRPr="00997241">
              <w:rPr>
                <w:rFonts w:ascii="Calibri" w:eastAsia="Calibri" w:hAnsi="Calibri" w:cs="Calibri"/>
              </w:rPr>
              <w:t xml:space="preserve"> and assumptions around cancer, barriers to help-seeking, poor understanding and sensitivity towards culture from health professionals (HCP); all these resulting in impaired decision-making and marginalisation. </w:t>
            </w:r>
          </w:p>
          <w:p w14:paraId="3AFDE07C" w14:textId="77777777" w:rsidR="00997241" w:rsidRPr="00997241" w:rsidRDefault="00997241" w:rsidP="0099724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99B63C" w14:textId="7101ADC5" w:rsidR="00997241" w:rsidRPr="00997241" w:rsidRDefault="00997241" w:rsidP="00997241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  <w:color w:val="000000"/>
              </w:rPr>
              <w:t xml:space="preserve">To address this significant unmet need, </w:t>
            </w:r>
            <w:r w:rsidRPr="00997241">
              <w:rPr>
                <w:rFonts w:ascii="Calibri" w:eastAsia="Calibri" w:hAnsi="Calibri" w:cs="Calibri"/>
              </w:rPr>
              <w:t xml:space="preserve">the candidate will use Knowledge Translation methods, the Theoretical Domains Framework (TDF) and the Behaviour Change Wheel (COM-B), input from PPIE and HCP to co-design a culturally appropriate intervention to mitigate barriers to </w:t>
            </w:r>
            <w:r w:rsidR="006E70B5">
              <w:rPr>
                <w:rFonts w:ascii="Calibri" w:eastAsia="Calibri" w:hAnsi="Calibri" w:cs="Calibri"/>
              </w:rPr>
              <w:t xml:space="preserve">optimal healthcare decision-making and to </w:t>
            </w:r>
            <w:r w:rsidRPr="00997241">
              <w:rPr>
                <w:rFonts w:ascii="Calibri" w:eastAsia="Calibri" w:hAnsi="Calibri" w:cs="Calibri"/>
              </w:rPr>
              <w:t xml:space="preserve">engagement with healthcare services among recently diagnosed (≤ 12 months) SA patients. This will involve: </w:t>
            </w:r>
          </w:p>
          <w:p w14:paraId="7BF0F6AE" w14:textId="77777777" w:rsidR="00997241" w:rsidRPr="00997241" w:rsidRDefault="00997241" w:rsidP="00997241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>A s</w:t>
            </w:r>
            <w:r w:rsidR="004A22E2" w:rsidRPr="00997241">
              <w:rPr>
                <w:rFonts w:ascii="Calibri" w:eastAsia="Calibri" w:hAnsi="Calibri" w:cs="Calibri"/>
              </w:rPr>
              <w:t>ystematic review o</w:t>
            </w:r>
            <w:r w:rsidRPr="00997241">
              <w:rPr>
                <w:rFonts w:ascii="Calibri" w:eastAsia="Calibri" w:hAnsi="Calibri" w:cs="Calibri"/>
              </w:rPr>
              <w:t>f</w:t>
            </w:r>
            <w:r w:rsidR="004A22E2" w:rsidRPr="00997241">
              <w:rPr>
                <w:rFonts w:ascii="Calibri" w:eastAsia="Calibri" w:hAnsi="Calibri" w:cs="Calibri"/>
              </w:rPr>
              <w:t xml:space="preserve"> healthcare decision</w:t>
            </w:r>
            <w:r w:rsidRPr="00997241">
              <w:rPr>
                <w:rFonts w:ascii="Calibri" w:eastAsia="Calibri" w:hAnsi="Calibri" w:cs="Calibri"/>
              </w:rPr>
              <w:t>-</w:t>
            </w:r>
            <w:r w:rsidR="004A22E2" w:rsidRPr="00997241">
              <w:rPr>
                <w:rFonts w:ascii="Calibri" w:eastAsia="Calibri" w:hAnsi="Calibri" w:cs="Calibri"/>
              </w:rPr>
              <w:t>making in cancer</w:t>
            </w:r>
            <w:r w:rsidRPr="00997241">
              <w:rPr>
                <w:rFonts w:ascii="Calibri" w:eastAsia="Calibri" w:hAnsi="Calibri" w:cs="Calibri"/>
              </w:rPr>
              <w:t>,</w:t>
            </w:r>
            <w:r w:rsidR="004A22E2" w:rsidRPr="00997241">
              <w:rPr>
                <w:rFonts w:ascii="Calibri" w:eastAsia="Calibri" w:hAnsi="Calibri" w:cs="Calibri"/>
              </w:rPr>
              <w:t xml:space="preserve"> informed by the TDF framework.</w:t>
            </w:r>
          </w:p>
          <w:p w14:paraId="66347E13" w14:textId="77777777" w:rsidR="00DB4572" w:rsidRPr="00997241" w:rsidRDefault="004A22E2" w:rsidP="00997241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>Identifying the barriers to and facilitators of optimal healthcare decision</w:t>
            </w:r>
            <w:r w:rsidR="00997241" w:rsidRPr="00997241">
              <w:rPr>
                <w:rFonts w:ascii="Calibri" w:eastAsia="Calibri" w:hAnsi="Calibri" w:cs="Calibri"/>
              </w:rPr>
              <w:t>-</w:t>
            </w:r>
            <w:r w:rsidRPr="00997241">
              <w:rPr>
                <w:rFonts w:ascii="Calibri" w:eastAsia="Calibri" w:hAnsi="Calibri" w:cs="Calibri"/>
              </w:rPr>
              <w:t xml:space="preserve">making in </w:t>
            </w:r>
            <w:r w:rsidR="00997241" w:rsidRPr="00997241">
              <w:rPr>
                <w:rFonts w:ascii="Calibri" w:eastAsia="Calibri" w:hAnsi="Calibri" w:cs="Calibri"/>
              </w:rPr>
              <w:t>SA cancer</w:t>
            </w:r>
            <w:r w:rsidRPr="00997241">
              <w:rPr>
                <w:rFonts w:ascii="Calibri" w:eastAsia="Calibri" w:hAnsi="Calibri" w:cs="Calibri"/>
              </w:rPr>
              <w:t xml:space="preserve"> patients</w:t>
            </w:r>
            <w:r w:rsidR="00997241" w:rsidRPr="00997241">
              <w:rPr>
                <w:rFonts w:ascii="Calibri" w:eastAsia="Calibri" w:hAnsi="Calibri" w:cs="Calibri"/>
              </w:rPr>
              <w:t>.</w:t>
            </w:r>
            <w:r w:rsidRPr="00997241">
              <w:rPr>
                <w:rFonts w:ascii="Calibri" w:eastAsia="Calibri" w:hAnsi="Calibri" w:cs="Calibri"/>
              </w:rPr>
              <w:t xml:space="preserve"> </w:t>
            </w:r>
          </w:p>
          <w:p w14:paraId="06D58B54" w14:textId="77777777" w:rsidR="00997241" w:rsidRPr="00997241" w:rsidRDefault="00997241" w:rsidP="00997241">
            <w:pPr>
              <w:ind w:left="720" w:firstLine="72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 xml:space="preserve">(a) Semi-structured interviews with SA recently diagnosed patients. </w:t>
            </w:r>
            <w:bookmarkStart w:id="0" w:name="_Hlk117759429"/>
          </w:p>
          <w:p w14:paraId="494EC29F" w14:textId="77777777" w:rsidR="00997241" w:rsidRPr="00997241" w:rsidRDefault="00997241" w:rsidP="00997241">
            <w:pPr>
              <w:ind w:left="144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 xml:space="preserve">(b) Mapping the patient journey in terms of key decision points and engagement with healthcare services, from pre-diagnosis, through treatment and follow-up. </w:t>
            </w:r>
          </w:p>
          <w:p w14:paraId="6D8D34EF" w14:textId="77777777" w:rsidR="00997241" w:rsidRPr="00997241" w:rsidRDefault="00997241" w:rsidP="00997241">
            <w:pPr>
              <w:spacing w:line="259" w:lineRule="auto"/>
              <w:ind w:left="1440"/>
              <w:rPr>
                <w:rFonts w:ascii="Calibri" w:eastAsia="Calibri" w:hAnsi="Calibri" w:cs="Calibri"/>
                <w:color w:val="000000"/>
              </w:rPr>
            </w:pPr>
            <w:r w:rsidRPr="00997241">
              <w:rPr>
                <w:rFonts w:ascii="Calibri" w:eastAsia="Calibri" w:hAnsi="Calibri" w:cs="Calibri"/>
                <w:color w:val="000000"/>
              </w:rPr>
              <w:t xml:space="preserve">(c) Exploring how </w:t>
            </w:r>
            <w:r w:rsidRPr="00997241">
              <w:rPr>
                <w:rFonts w:ascii="Calibri" w:eastAsia="Calibri" w:hAnsi="Calibri" w:cs="Calibri"/>
              </w:rPr>
              <w:t>healthcare</w:t>
            </w:r>
            <w:r w:rsidRPr="00997241">
              <w:rPr>
                <w:rFonts w:ascii="Calibri" w:eastAsia="Calibri" w:hAnsi="Calibri" w:cs="Calibri"/>
                <w:color w:val="000000"/>
              </w:rPr>
              <w:t xml:space="preserve"> decision-making is compounded by the cultural assumptions around cancer and the medical, economic and psychosocial challenges faced by SA patients throughout this pathway.</w:t>
            </w:r>
            <w:bookmarkEnd w:id="0"/>
          </w:p>
          <w:p w14:paraId="5D34B998" w14:textId="77777777" w:rsidR="00997241" w:rsidRPr="00997241" w:rsidRDefault="00997241" w:rsidP="00997241">
            <w:pPr>
              <w:spacing w:line="259" w:lineRule="auto"/>
              <w:ind w:firstLine="720"/>
              <w:rPr>
                <w:rFonts w:ascii="Calibri" w:eastAsia="Calibri" w:hAnsi="Calibri" w:cs="Calibri"/>
                <w:color w:val="FF0000"/>
              </w:rPr>
            </w:pPr>
            <w:r w:rsidRPr="00997241">
              <w:rPr>
                <w:rFonts w:ascii="Calibri" w:eastAsia="Calibri" w:hAnsi="Calibri" w:cs="Calibri"/>
              </w:rPr>
              <w:t>(3) Designing a culturally appropriate intervention on healthcare decision-making.</w:t>
            </w:r>
          </w:p>
          <w:p w14:paraId="4AC0F753" w14:textId="77777777" w:rsidR="00997241" w:rsidRPr="00997241" w:rsidRDefault="00997241" w:rsidP="00997241">
            <w:pPr>
              <w:spacing w:line="259" w:lineRule="auto"/>
              <w:ind w:left="144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>(a) The TDF domains identified as influencing healthcare decision-making will be mapped to the COM-B to identify:</w:t>
            </w:r>
          </w:p>
          <w:p w14:paraId="67DD15B3" w14:textId="77777777" w:rsidR="00997241" w:rsidRPr="00997241" w:rsidRDefault="00997241" w:rsidP="00997241">
            <w:pPr>
              <w:spacing w:line="259" w:lineRule="auto"/>
              <w:ind w:left="216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>(1) the facet of behaviour (capability, opportunity or motivation) requiring intervention.</w:t>
            </w:r>
          </w:p>
          <w:p w14:paraId="2796591C" w14:textId="77777777" w:rsidR="00997241" w:rsidRPr="00997241" w:rsidRDefault="00997241" w:rsidP="00997241">
            <w:pPr>
              <w:spacing w:line="259" w:lineRule="auto"/>
              <w:ind w:left="1440" w:firstLine="72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>(2) corresponding intervention functions.</w:t>
            </w:r>
          </w:p>
          <w:p w14:paraId="4DE53BEC" w14:textId="77777777" w:rsidR="00997241" w:rsidRPr="00997241" w:rsidRDefault="00997241" w:rsidP="00997241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>(4) Feedback consultations through focus groups/interviews with SA patients, HCPs and PPIE to:</w:t>
            </w:r>
          </w:p>
          <w:p w14:paraId="6E38A1C7" w14:textId="77777777" w:rsidR="00997241" w:rsidRPr="00997241" w:rsidRDefault="00997241" w:rsidP="00997241">
            <w:pPr>
              <w:spacing w:line="259" w:lineRule="auto"/>
              <w:ind w:left="720" w:firstLine="72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 xml:space="preserve">(a) Confirm trustworthiness of findings. </w:t>
            </w:r>
          </w:p>
          <w:p w14:paraId="0DA32F5B" w14:textId="77777777" w:rsidR="00997241" w:rsidRPr="00997241" w:rsidRDefault="00997241" w:rsidP="00997241">
            <w:pPr>
              <w:spacing w:line="259" w:lineRule="auto"/>
              <w:ind w:left="720" w:firstLine="72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 xml:space="preserve">(b) Ensure the acceptability and cultural appropriateness of the intervention. </w:t>
            </w:r>
          </w:p>
          <w:p w14:paraId="485C6470" w14:textId="352B8B63" w:rsidR="00997241" w:rsidRPr="00997241" w:rsidRDefault="00997241" w:rsidP="00997241">
            <w:pPr>
              <w:spacing w:line="259" w:lineRule="auto"/>
              <w:ind w:left="144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 xml:space="preserve">(c) Identify potential additional barriers </w:t>
            </w:r>
            <w:r w:rsidR="00133B26">
              <w:rPr>
                <w:rFonts w:ascii="Calibri" w:eastAsia="Calibri" w:hAnsi="Calibri" w:cs="Calibri"/>
              </w:rPr>
              <w:t xml:space="preserve">to </w:t>
            </w:r>
            <w:r w:rsidRPr="00997241">
              <w:rPr>
                <w:rFonts w:ascii="Calibri" w:eastAsia="Calibri" w:hAnsi="Calibri" w:cs="Calibri"/>
              </w:rPr>
              <w:t xml:space="preserve">and facilitators </w:t>
            </w:r>
            <w:r w:rsidR="00133B26">
              <w:rPr>
                <w:rFonts w:ascii="Calibri" w:eastAsia="Calibri" w:hAnsi="Calibri" w:cs="Calibri"/>
              </w:rPr>
              <w:t>of</w:t>
            </w:r>
            <w:r w:rsidRPr="00997241">
              <w:rPr>
                <w:rFonts w:ascii="Calibri" w:eastAsia="Calibri" w:hAnsi="Calibri" w:cs="Calibri"/>
              </w:rPr>
              <w:t xml:space="preserve"> optimal healthcare decision-making. </w:t>
            </w:r>
          </w:p>
          <w:p w14:paraId="78D482CE" w14:textId="40031224" w:rsidR="0039206A" w:rsidRPr="00997241" w:rsidRDefault="00997241" w:rsidP="00997241">
            <w:pPr>
              <w:spacing w:line="259" w:lineRule="auto"/>
              <w:ind w:left="720" w:firstLine="720"/>
              <w:rPr>
                <w:rFonts w:ascii="Calibri" w:eastAsia="Calibri" w:hAnsi="Calibri" w:cs="Calibri"/>
              </w:rPr>
            </w:pPr>
            <w:r w:rsidRPr="00997241">
              <w:rPr>
                <w:rFonts w:ascii="Calibri" w:eastAsia="Calibri" w:hAnsi="Calibri" w:cs="Calibri"/>
              </w:rPr>
              <w:t>(d) Suggest modifications to the intervention components.</w:t>
            </w:r>
          </w:p>
        </w:tc>
      </w:tr>
    </w:tbl>
    <w:p w14:paraId="2F06C3C3" w14:textId="77777777" w:rsidR="005F15C7" w:rsidRDefault="005F15C7" w:rsidP="005F15C7">
      <w:pPr>
        <w:spacing w:line="240" w:lineRule="auto"/>
        <w:jc w:val="left"/>
        <w:rPr>
          <w:rFonts w:ascii="Calibri" w:eastAsia="Calibri" w:hAnsi="Calibri" w:cs="Calibri"/>
          <w:b/>
          <w:color w:val="000000"/>
          <w:lang w:eastAsia="en-GB"/>
        </w:rPr>
      </w:pPr>
    </w:p>
    <w:sectPr w:rsidR="005F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0C4B"/>
    <w:multiLevelType w:val="hybridMultilevel"/>
    <w:tmpl w:val="D44CF94A"/>
    <w:lvl w:ilvl="0" w:tplc="DB9A4D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7A0FA5"/>
    <w:multiLevelType w:val="hybridMultilevel"/>
    <w:tmpl w:val="02E8EE7C"/>
    <w:lvl w:ilvl="0" w:tplc="2A28B6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11C37"/>
    <w:rsid w:val="000137AF"/>
    <w:rsid w:val="000419C6"/>
    <w:rsid w:val="00064382"/>
    <w:rsid w:val="00093908"/>
    <w:rsid w:val="000C280D"/>
    <w:rsid w:val="000E3A6F"/>
    <w:rsid w:val="00133B26"/>
    <w:rsid w:val="00134333"/>
    <w:rsid w:val="00143D90"/>
    <w:rsid w:val="0015254E"/>
    <w:rsid w:val="00171FD7"/>
    <w:rsid w:val="00192861"/>
    <w:rsid w:val="001B5E91"/>
    <w:rsid w:val="001D06F4"/>
    <w:rsid w:val="001D1D4C"/>
    <w:rsid w:val="001D6271"/>
    <w:rsid w:val="002240E0"/>
    <w:rsid w:val="00224F79"/>
    <w:rsid w:val="00231E64"/>
    <w:rsid w:val="002442F1"/>
    <w:rsid w:val="00264533"/>
    <w:rsid w:val="002D07EB"/>
    <w:rsid w:val="003101A9"/>
    <w:rsid w:val="00316234"/>
    <w:rsid w:val="00326AA0"/>
    <w:rsid w:val="0037062D"/>
    <w:rsid w:val="0039206A"/>
    <w:rsid w:val="003A62AE"/>
    <w:rsid w:val="003B7896"/>
    <w:rsid w:val="003D7930"/>
    <w:rsid w:val="003F6AA6"/>
    <w:rsid w:val="00432134"/>
    <w:rsid w:val="0044547F"/>
    <w:rsid w:val="00447A30"/>
    <w:rsid w:val="004730B7"/>
    <w:rsid w:val="0047561F"/>
    <w:rsid w:val="00481C72"/>
    <w:rsid w:val="004A22E2"/>
    <w:rsid w:val="004A2CFF"/>
    <w:rsid w:val="004B3812"/>
    <w:rsid w:val="004C60E2"/>
    <w:rsid w:val="004E4DC3"/>
    <w:rsid w:val="004F1BE8"/>
    <w:rsid w:val="004F1FE1"/>
    <w:rsid w:val="004F78B7"/>
    <w:rsid w:val="005178B0"/>
    <w:rsid w:val="00520415"/>
    <w:rsid w:val="00532A39"/>
    <w:rsid w:val="00536C74"/>
    <w:rsid w:val="00541FE2"/>
    <w:rsid w:val="00545552"/>
    <w:rsid w:val="00553917"/>
    <w:rsid w:val="00574A19"/>
    <w:rsid w:val="00574E53"/>
    <w:rsid w:val="00585FC6"/>
    <w:rsid w:val="00587B12"/>
    <w:rsid w:val="005C7C51"/>
    <w:rsid w:val="005E2CF4"/>
    <w:rsid w:val="005F15C7"/>
    <w:rsid w:val="00605101"/>
    <w:rsid w:val="00615F98"/>
    <w:rsid w:val="00626CF0"/>
    <w:rsid w:val="00632F84"/>
    <w:rsid w:val="00633D0C"/>
    <w:rsid w:val="00634823"/>
    <w:rsid w:val="0064423F"/>
    <w:rsid w:val="0065033F"/>
    <w:rsid w:val="00653527"/>
    <w:rsid w:val="006838DA"/>
    <w:rsid w:val="00686017"/>
    <w:rsid w:val="00694A5D"/>
    <w:rsid w:val="006B3FF5"/>
    <w:rsid w:val="006C208F"/>
    <w:rsid w:val="006E70B5"/>
    <w:rsid w:val="007018C3"/>
    <w:rsid w:val="00737671"/>
    <w:rsid w:val="007413E5"/>
    <w:rsid w:val="00741E79"/>
    <w:rsid w:val="00752135"/>
    <w:rsid w:val="00760CD9"/>
    <w:rsid w:val="00763F9C"/>
    <w:rsid w:val="007B66AF"/>
    <w:rsid w:val="007D4DE7"/>
    <w:rsid w:val="007E4C70"/>
    <w:rsid w:val="00805B0C"/>
    <w:rsid w:val="00812BFA"/>
    <w:rsid w:val="00814FCD"/>
    <w:rsid w:val="00865700"/>
    <w:rsid w:val="008738E0"/>
    <w:rsid w:val="008A6F23"/>
    <w:rsid w:val="008D0FAA"/>
    <w:rsid w:val="00956BEA"/>
    <w:rsid w:val="00963BF0"/>
    <w:rsid w:val="0097237E"/>
    <w:rsid w:val="0099402A"/>
    <w:rsid w:val="009941DA"/>
    <w:rsid w:val="00997241"/>
    <w:rsid w:val="009A53D7"/>
    <w:rsid w:val="009B5D1D"/>
    <w:rsid w:val="009C77B8"/>
    <w:rsid w:val="009D4880"/>
    <w:rsid w:val="009D5D9B"/>
    <w:rsid w:val="009F66AC"/>
    <w:rsid w:val="009F6BCB"/>
    <w:rsid w:val="00A355C3"/>
    <w:rsid w:val="00A725A3"/>
    <w:rsid w:val="00A94329"/>
    <w:rsid w:val="00AB0C3B"/>
    <w:rsid w:val="00B07EEE"/>
    <w:rsid w:val="00B4125F"/>
    <w:rsid w:val="00B549D1"/>
    <w:rsid w:val="00BA4449"/>
    <w:rsid w:val="00BB3914"/>
    <w:rsid w:val="00BB3944"/>
    <w:rsid w:val="00BB43A7"/>
    <w:rsid w:val="00BB5EEB"/>
    <w:rsid w:val="00BC5EC5"/>
    <w:rsid w:val="00C33189"/>
    <w:rsid w:val="00C41074"/>
    <w:rsid w:val="00C44AFF"/>
    <w:rsid w:val="00C46F14"/>
    <w:rsid w:val="00C72F3B"/>
    <w:rsid w:val="00C75752"/>
    <w:rsid w:val="00C82FD1"/>
    <w:rsid w:val="00C87D8E"/>
    <w:rsid w:val="00C92C0B"/>
    <w:rsid w:val="00C95AB9"/>
    <w:rsid w:val="00CA340C"/>
    <w:rsid w:val="00CA3EEB"/>
    <w:rsid w:val="00CB1091"/>
    <w:rsid w:val="00D02CB0"/>
    <w:rsid w:val="00D35828"/>
    <w:rsid w:val="00D412EB"/>
    <w:rsid w:val="00D500E4"/>
    <w:rsid w:val="00D50E9B"/>
    <w:rsid w:val="00D54E58"/>
    <w:rsid w:val="00D564D9"/>
    <w:rsid w:val="00DA3DF6"/>
    <w:rsid w:val="00DA7639"/>
    <w:rsid w:val="00DB651B"/>
    <w:rsid w:val="00DE1F50"/>
    <w:rsid w:val="00E22CD8"/>
    <w:rsid w:val="00E52F7B"/>
    <w:rsid w:val="00EA0D8B"/>
    <w:rsid w:val="00ED1EA8"/>
    <w:rsid w:val="00F03DF5"/>
    <w:rsid w:val="00F22C72"/>
    <w:rsid w:val="00F2433D"/>
    <w:rsid w:val="00F3077D"/>
    <w:rsid w:val="00F4135E"/>
    <w:rsid w:val="00F47DF2"/>
    <w:rsid w:val="00F71363"/>
    <w:rsid w:val="00F760B7"/>
    <w:rsid w:val="00F916EE"/>
    <w:rsid w:val="00F96256"/>
    <w:rsid w:val="00FC5F2B"/>
    <w:rsid w:val="0739A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5629B51A-9715-45F9-AD17-8B44F09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2134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F6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259@l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F0F4-ABB4-4E1F-8E4D-D1032F363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3F8B7-C39D-4C2C-B8A0-BA008EF34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3420</Characters>
  <Application>Microsoft Office Word</Application>
  <DocSecurity>0</DocSecurity>
  <Lines>28</Lines>
  <Paragraphs>8</Paragraphs>
  <ScaleCrop>false</ScaleCrop>
  <Company>University of Leicester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4</cp:revision>
  <dcterms:created xsi:type="dcterms:W3CDTF">2022-11-20T14:08:00Z</dcterms:created>
  <dcterms:modified xsi:type="dcterms:W3CDTF">2022-11-21T12:00:00Z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