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ED40" w14:textId="77777777" w:rsidR="009C539E" w:rsidRDefault="009C539E" w:rsidP="009C539E">
      <w:pPr>
        <w:spacing w:line="240" w:lineRule="auto"/>
        <w:rPr>
          <w:rFonts w:ascii="Calibri" w:hAnsi="Calibri" w:cs="Arial"/>
          <w:b/>
        </w:rPr>
      </w:pPr>
      <w:r>
        <w:rPr>
          <w:rFonts w:cs="Arial"/>
          <w:b/>
        </w:rPr>
        <w:t xml:space="preserve">University of Leicester </w:t>
      </w:r>
    </w:p>
    <w:p w14:paraId="65D46A9E" w14:textId="77777777" w:rsidR="009C539E" w:rsidRDefault="009C539E" w:rsidP="009C539E">
      <w:pPr>
        <w:spacing w:line="240" w:lineRule="auto"/>
        <w:rPr>
          <w:rFonts w:cs="Arial"/>
          <w:b/>
        </w:rPr>
      </w:pPr>
      <w:r>
        <w:rPr>
          <w:rFonts w:cs="Arial"/>
          <w:b/>
        </w:rPr>
        <w:t xml:space="preserve">Future 50  PhD Scholarship </w:t>
      </w:r>
    </w:p>
    <w:p w14:paraId="0DE82DD6" w14:textId="77777777" w:rsidR="0039206A" w:rsidRPr="00F136B9" w:rsidRDefault="0039206A" w:rsidP="0039206A">
      <w:pPr>
        <w:spacing w:line="240" w:lineRule="auto"/>
        <w:jc w:val="left"/>
        <w:rPr>
          <w:rFonts w:asciiTheme="minorHAnsi" w:eastAsia="Calibri" w:hAnsiTheme="minorHAnsi" w:cstheme="minorHAnsi"/>
          <w:b/>
          <w:color w:val="000000"/>
          <w:u w:val="single"/>
          <w:lang w:eastAsia="en-GB"/>
        </w:rPr>
      </w:pPr>
    </w:p>
    <w:p w14:paraId="07743803" w14:textId="77777777" w:rsidR="0039206A" w:rsidRPr="00F136B9" w:rsidRDefault="0039206A" w:rsidP="0039206A">
      <w:pPr>
        <w:spacing w:line="240" w:lineRule="auto"/>
        <w:jc w:val="left"/>
        <w:rPr>
          <w:rFonts w:asciiTheme="minorHAnsi" w:eastAsia="Calibri" w:hAnsiTheme="minorHAnsi" w:cstheme="minorHAnsi"/>
          <w:color w:val="000000"/>
          <w:lang w:eastAsia="en-GB"/>
        </w:rPr>
      </w:pPr>
    </w:p>
    <w:tbl>
      <w:tblPr>
        <w:tblStyle w:val="TableGrid1"/>
        <w:tblW w:w="9034" w:type="dxa"/>
        <w:tblLayout w:type="fixed"/>
        <w:tblLook w:val="04A0" w:firstRow="1" w:lastRow="0" w:firstColumn="1" w:lastColumn="0" w:noHBand="0" w:noVBand="1"/>
      </w:tblPr>
      <w:tblGrid>
        <w:gridCol w:w="3227"/>
        <w:gridCol w:w="5807"/>
      </w:tblGrid>
      <w:tr w:rsidR="0039206A" w:rsidRPr="00F136B9" w14:paraId="1AB296DC" w14:textId="77777777" w:rsidTr="7D975D5A">
        <w:tc>
          <w:tcPr>
            <w:tcW w:w="3227" w:type="dxa"/>
            <w:shd w:val="clear" w:color="auto" w:fill="F2F2F2" w:themeFill="background1" w:themeFillShade="F2"/>
          </w:tcPr>
          <w:p w14:paraId="10957175"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Project Reference</w:t>
            </w:r>
          </w:p>
        </w:tc>
        <w:tc>
          <w:tcPr>
            <w:tcW w:w="5807" w:type="dxa"/>
          </w:tcPr>
          <w:p w14:paraId="502E48FB" w14:textId="34A60BCA" w:rsidR="0039206A" w:rsidRPr="00F136B9" w:rsidRDefault="17E5E89C" w:rsidP="7D975D5A">
            <w:pPr>
              <w:spacing w:after="160"/>
              <w:jc w:val="left"/>
              <w:rPr>
                <w:rFonts w:asciiTheme="minorHAnsi" w:eastAsia="Calibri" w:hAnsiTheme="minorHAnsi"/>
                <w:color w:val="000000"/>
                <w:lang w:eastAsia="en-GB"/>
              </w:rPr>
            </w:pPr>
            <w:r w:rsidRPr="7D975D5A">
              <w:rPr>
                <w:rFonts w:asciiTheme="minorHAnsi" w:eastAsia="Calibri" w:hAnsiTheme="minorHAnsi"/>
                <w:color w:val="000000" w:themeColor="text1"/>
                <w:lang w:eastAsia="en-GB"/>
              </w:rPr>
              <w:t>HS Booth</w:t>
            </w:r>
          </w:p>
        </w:tc>
      </w:tr>
    </w:tbl>
    <w:p w14:paraId="505228F3" w14:textId="77777777" w:rsidR="0039206A" w:rsidRPr="00F136B9" w:rsidRDefault="0039206A" w:rsidP="0039206A">
      <w:pPr>
        <w:spacing w:line="240" w:lineRule="auto"/>
        <w:jc w:val="left"/>
        <w:rPr>
          <w:rFonts w:asciiTheme="minorHAnsi" w:eastAsia="Calibri" w:hAnsiTheme="minorHAnsi" w:cstheme="minorHAnsi"/>
          <w:color w:val="000000"/>
          <w:lang w:eastAsia="en-GB"/>
        </w:rPr>
      </w:pPr>
    </w:p>
    <w:tbl>
      <w:tblPr>
        <w:tblStyle w:val="TableGrid1"/>
        <w:tblW w:w="9034" w:type="dxa"/>
        <w:tblLayout w:type="fixed"/>
        <w:tblLook w:val="04A0" w:firstRow="1" w:lastRow="0" w:firstColumn="1" w:lastColumn="0" w:noHBand="0" w:noVBand="1"/>
      </w:tblPr>
      <w:tblGrid>
        <w:gridCol w:w="3227"/>
        <w:gridCol w:w="2693"/>
        <w:gridCol w:w="1843"/>
        <w:gridCol w:w="1271"/>
      </w:tblGrid>
      <w:tr w:rsidR="0039206A" w:rsidRPr="00F136B9" w14:paraId="6B67D973" w14:textId="77777777" w:rsidTr="00654390">
        <w:tc>
          <w:tcPr>
            <w:tcW w:w="3227" w:type="dxa"/>
            <w:shd w:val="clear" w:color="auto" w:fill="F2F2F2" w:themeFill="background1" w:themeFillShade="F2"/>
          </w:tcPr>
          <w:p w14:paraId="7AF9C080"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First Supervisor</w:t>
            </w:r>
          </w:p>
        </w:tc>
        <w:tc>
          <w:tcPr>
            <w:tcW w:w="5807" w:type="dxa"/>
            <w:gridSpan w:val="3"/>
          </w:tcPr>
          <w:p w14:paraId="5A5AE09D" w14:textId="7FD8590A" w:rsidR="0039206A" w:rsidRPr="00F136B9" w:rsidRDefault="00E575ED"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Dr </w:t>
            </w:r>
            <w:r w:rsidR="00F136B9">
              <w:rPr>
                <w:rFonts w:asciiTheme="minorHAnsi" w:eastAsia="Calibri" w:hAnsiTheme="minorHAnsi" w:cstheme="minorHAnsi"/>
                <w:color w:val="000000"/>
                <w:lang w:eastAsia="en-GB"/>
              </w:rPr>
              <w:t>Sarah Booth</w:t>
            </w:r>
          </w:p>
        </w:tc>
      </w:tr>
      <w:tr w:rsidR="0039206A" w:rsidRPr="00F136B9" w14:paraId="304F823A" w14:textId="77777777" w:rsidTr="00654390">
        <w:tc>
          <w:tcPr>
            <w:tcW w:w="3227" w:type="dxa"/>
            <w:shd w:val="clear" w:color="auto" w:fill="F2F2F2" w:themeFill="background1" w:themeFillShade="F2"/>
          </w:tcPr>
          <w:p w14:paraId="0A0DF8A2"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School/Department</w:t>
            </w:r>
          </w:p>
        </w:tc>
        <w:tc>
          <w:tcPr>
            <w:tcW w:w="5807" w:type="dxa"/>
            <w:gridSpan w:val="3"/>
          </w:tcPr>
          <w:p w14:paraId="55080909" w14:textId="40B05EBB" w:rsidR="0039206A" w:rsidRPr="00F136B9" w:rsidRDefault="00F136B9"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Department of Health Sciences</w:t>
            </w:r>
          </w:p>
        </w:tc>
      </w:tr>
      <w:tr w:rsidR="0039206A" w:rsidRPr="00F136B9" w14:paraId="6017FF4B" w14:textId="77777777" w:rsidTr="00654390">
        <w:tc>
          <w:tcPr>
            <w:tcW w:w="3227" w:type="dxa"/>
            <w:shd w:val="clear" w:color="auto" w:fill="F2F2F2" w:themeFill="background1" w:themeFillShade="F2"/>
          </w:tcPr>
          <w:p w14:paraId="7543AA62"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 xml:space="preserve">Email </w:t>
            </w:r>
          </w:p>
        </w:tc>
        <w:tc>
          <w:tcPr>
            <w:tcW w:w="2693" w:type="dxa"/>
          </w:tcPr>
          <w:p w14:paraId="3FEC5E19" w14:textId="1F20736C" w:rsidR="0039206A" w:rsidRPr="00F136B9" w:rsidRDefault="009C539E" w:rsidP="0039206A">
            <w:pPr>
              <w:spacing w:after="160"/>
              <w:jc w:val="left"/>
              <w:rPr>
                <w:rFonts w:asciiTheme="minorHAnsi" w:eastAsia="Calibri" w:hAnsiTheme="minorHAnsi" w:cstheme="minorHAnsi"/>
                <w:color w:val="000000"/>
                <w:lang w:eastAsia="en-GB"/>
              </w:rPr>
            </w:pPr>
            <w:hyperlink r:id="rId8" w:history="1">
              <w:r w:rsidRPr="00BC748E">
                <w:rPr>
                  <w:rStyle w:val="Hyperlink"/>
                  <w:rFonts w:asciiTheme="minorHAnsi" w:eastAsia="Calibri" w:hAnsiTheme="minorHAnsi" w:cstheme="minorHAnsi"/>
                  <w:lang w:eastAsia="en-GB"/>
                </w:rPr>
                <w:t>sarah.booth@le.ac.uk</w:t>
              </w:r>
            </w:hyperlink>
            <w:r>
              <w:rPr>
                <w:rFonts w:asciiTheme="minorHAnsi" w:eastAsia="Calibri" w:hAnsiTheme="minorHAnsi" w:cstheme="minorHAnsi"/>
                <w:color w:val="000000"/>
                <w:lang w:eastAsia="en-GB"/>
              </w:rPr>
              <w:t xml:space="preserve"> </w:t>
            </w:r>
          </w:p>
        </w:tc>
        <w:tc>
          <w:tcPr>
            <w:tcW w:w="1843" w:type="dxa"/>
            <w:shd w:val="clear" w:color="auto" w:fill="F2F2F2" w:themeFill="background1" w:themeFillShade="F2"/>
          </w:tcPr>
          <w:p w14:paraId="69E2BF85"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Telephone Ext</w:t>
            </w:r>
          </w:p>
        </w:tc>
        <w:tc>
          <w:tcPr>
            <w:tcW w:w="1271" w:type="dxa"/>
          </w:tcPr>
          <w:p w14:paraId="3ADA345F" w14:textId="1693A52E" w:rsidR="0039206A" w:rsidRPr="00F136B9" w:rsidRDefault="00F136B9"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3216</w:t>
            </w:r>
          </w:p>
        </w:tc>
      </w:tr>
    </w:tbl>
    <w:p w14:paraId="13A9D7D6" w14:textId="77777777" w:rsidR="0039206A" w:rsidRPr="00F136B9" w:rsidRDefault="0039206A" w:rsidP="0039206A">
      <w:pPr>
        <w:spacing w:line="240" w:lineRule="auto"/>
        <w:jc w:val="left"/>
        <w:rPr>
          <w:rFonts w:asciiTheme="minorHAnsi" w:eastAsia="Calibri" w:hAnsiTheme="minorHAnsi" w:cstheme="minorHAnsi"/>
          <w:color w:val="000000"/>
          <w:lang w:eastAsia="en-GB"/>
        </w:rPr>
      </w:pPr>
    </w:p>
    <w:tbl>
      <w:tblPr>
        <w:tblStyle w:val="TableGrid"/>
        <w:tblW w:w="9034" w:type="dxa"/>
        <w:tblLayout w:type="fixed"/>
        <w:tblLook w:val="04A0" w:firstRow="1" w:lastRow="0" w:firstColumn="1" w:lastColumn="0" w:noHBand="0" w:noVBand="1"/>
      </w:tblPr>
      <w:tblGrid>
        <w:gridCol w:w="3256"/>
        <w:gridCol w:w="2664"/>
        <w:gridCol w:w="1843"/>
        <w:gridCol w:w="1271"/>
      </w:tblGrid>
      <w:tr w:rsidR="0039206A" w:rsidRPr="00F136B9" w14:paraId="57596EAD" w14:textId="77777777" w:rsidTr="00654390">
        <w:tc>
          <w:tcPr>
            <w:tcW w:w="3256" w:type="dxa"/>
            <w:shd w:val="clear" w:color="auto" w:fill="F2F2F2" w:themeFill="background1" w:themeFillShade="F2"/>
          </w:tcPr>
          <w:p w14:paraId="75C9DC52"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Second Supervisor</w:t>
            </w:r>
          </w:p>
        </w:tc>
        <w:tc>
          <w:tcPr>
            <w:tcW w:w="5778" w:type="dxa"/>
            <w:gridSpan w:val="3"/>
          </w:tcPr>
          <w:p w14:paraId="5C161CBD" w14:textId="4CEB3C53" w:rsidR="0039206A" w:rsidRPr="00F136B9" w:rsidRDefault="00E575ED"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Dr </w:t>
            </w:r>
            <w:r w:rsidR="00F136B9">
              <w:rPr>
                <w:rFonts w:asciiTheme="minorHAnsi" w:eastAsia="Calibri" w:hAnsiTheme="minorHAnsi" w:cstheme="minorHAnsi"/>
                <w:color w:val="000000"/>
                <w:lang w:eastAsia="en-GB"/>
              </w:rPr>
              <w:t>Mark Rutherford</w:t>
            </w:r>
          </w:p>
        </w:tc>
      </w:tr>
      <w:tr w:rsidR="0039206A" w:rsidRPr="00F136B9" w14:paraId="19CCB21F" w14:textId="77777777" w:rsidTr="00654390">
        <w:tc>
          <w:tcPr>
            <w:tcW w:w="3256" w:type="dxa"/>
            <w:shd w:val="clear" w:color="auto" w:fill="F2F2F2" w:themeFill="background1" w:themeFillShade="F2"/>
          </w:tcPr>
          <w:p w14:paraId="1CF7D1E5"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School/Department</w:t>
            </w:r>
          </w:p>
        </w:tc>
        <w:tc>
          <w:tcPr>
            <w:tcW w:w="5778" w:type="dxa"/>
            <w:gridSpan w:val="3"/>
          </w:tcPr>
          <w:p w14:paraId="6A3BF902" w14:textId="65582321" w:rsidR="0039206A" w:rsidRPr="00F136B9" w:rsidRDefault="00F136B9"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Department of Health Sciences</w:t>
            </w:r>
          </w:p>
        </w:tc>
      </w:tr>
      <w:tr w:rsidR="0039206A" w:rsidRPr="00F136B9" w14:paraId="2FD12115" w14:textId="77777777" w:rsidTr="00654390">
        <w:tc>
          <w:tcPr>
            <w:tcW w:w="3256" w:type="dxa"/>
            <w:shd w:val="clear" w:color="auto" w:fill="F2F2F2" w:themeFill="background1" w:themeFillShade="F2"/>
          </w:tcPr>
          <w:p w14:paraId="5CDA146B"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 xml:space="preserve">Email </w:t>
            </w:r>
          </w:p>
        </w:tc>
        <w:tc>
          <w:tcPr>
            <w:tcW w:w="2664" w:type="dxa"/>
          </w:tcPr>
          <w:p w14:paraId="354E3FD0" w14:textId="6F4CE9D7" w:rsidR="0039206A" w:rsidRPr="00F136B9" w:rsidRDefault="00F136B9" w:rsidP="0039206A">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color w:val="000000"/>
                <w:lang w:eastAsia="en-GB"/>
              </w:rPr>
              <w:t>mjr40@le.ac.uk</w:t>
            </w:r>
          </w:p>
        </w:tc>
        <w:tc>
          <w:tcPr>
            <w:tcW w:w="1843" w:type="dxa"/>
            <w:shd w:val="clear" w:color="auto" w:fill="F2F2F2" w:themeFill="background1" w:themeFillShade="F2"/>
          </w:tcPr>
          <w:p w14:paraId="15F2DA78"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Telephone Ext</w:t>
            </w:r>
          </w:p>
        </w:tc>
        <w:tc>
          <w:tcPr>
            <w:tcW w:w="1271" w:type="dxa"/>
          </w:tcPr>
          <w:p w14:paraId="20B3E126" w14:textId="74CD3349" w:rsidR="0039206A" w:rsidRPr="00F136B9" w:rsidRDefault="00F136B9" w:rsidP="0039206A">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7292</w:t>
            </w:r>
          </w:p>
        </w:tc>
      </w:tr>
    </w:tbl>
    <w:p w14:paraId="04EEF7E7" w14:textId="77777777" w:rsidR="0039206A" w:rsidRPr="00F136B9" w:rsidRDefault="0039206A" w:rsidP="0039206A">
      <w:pPr>
        <w:spacing w:line="240" w:lineRule="auto"/>
        <w:jc w:val="left"/>
        <w:rPr>
          <w:rFonts w:asciiTheme="minorHAnsi" w:eastAsia="Calibri" w:hAnsiTheme="minorHAnsi" w:cstheme="minorHAnsi"/>
          <w:color w:val="000000"/>
          <w:lang w:eastAsia="en-GB"/>
        </w:rPr>
      </w:pPr>
    </w:p>
    <w:tbl>
      <w:tblPr>
        <w:tblStyle w:val="TableGrid"/>
        <w:tblW w:w="9034" w:type="dxa"/>
        <w:tblLayout w:type="fixed"/>
        <w:tblLook w:val="04A0" w:firstRow="1" w:lastRow="0" w:firstColumn="1" w:lastColumn="0" w:noHBand="0" w:noVBand="1"/>
      </w:tblPr>
      <w:tblGrid>
        <w:gridCol w:w="3256"/>
        <w:gridCol w:w="5778"/>
      </w:tblGrid>
      <w:tr w:rsidR="0039206A" w:rsidRPr="00F136B9" w14:paraId="11CECD94" w14:textId="77777777" w:rsidTr="00654390">
        <w:tc>
          <w:tcPr>
            <w:tcW w:w="3256" w:type="dxa"/>
            <w:shd w:val="clear" w:color="auto" w:fill="F2F2F2" w:themeFill="background1" w:themeFillShade="F2"/>
          </w:tcPr>
          <w:p w14:paraId="5EA90127"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Additional Supervisor</w:t>
            </w:r>
          </w:p>
        </w:tc>
        <w:tc>
          <w:tcPr>
            <w:tcW w:w="5778" w:type="dxa"/>
          </w:tcPr>
          <w:p w14:paraId="149E23C4" w14:textId="69DEA5DA" w:rsidR="0039206A" w:rsidRPr="00F136B9" w:rsidRDefault="00E575ED" w:rsidP="00463F3E">
            <w:pPr>
              <w:spacing w:after="160"/>
              <w:jc w:val="left"/>
              <w:rPr>
                <w:rFonts w:asciiTheme="minorHAnsi" w:eastAsia="Calibri" w:hAnsiTheme="minorHAnsi" w:cstheme="minorHAnsi"/>
                <w:color w:val="000000"/>
                <w:lang w:eastAsia="en-GB"/>
              </w:rPr>
            </w:pPr>
            <w:r>
              <w:rPr>
                <w:rFonts w:asciiTheme="minorHAnsi" w:eastAsia="Calibri" w:hAnsiTheme="minorHAnsi" w:cstheme="minorHAnsi"/>
                <w:color w:val="000000"/>
                <w:lang w:eastAsia="en-GB"/>
              </w:rPr>
              <w:t xml:space="preserve">Professor </w:t>
            </w:r>
            <w:r w:rsidR="00F136B9" w:rsidRPr="00F136B9">
              <w:rPr>
                <w:rFonts w:asciiTheme="minorHAnsi" w:eastAsia="Calibri" w:hAnsiTheme="minorHAnsi" w:cstheme="minorHAnsi"/>
                <w:color w:val="000000"/>
                <w:lang w:eastAsia="en-GB"/>
              </w:rPr>
              <w:t>Paul</w:t>
            </w:r>
            <w:r w:rsidR="00463F3E">
              <w:rPr>
                <w:rFonts w:asciiTheme="minorHAnsi" w:eastAsia="Calibri" w:hAnsiTheme="minorHAnsi" w:cstheme="minorHAnsi"/>
                <w:color w:val="000000"/>
                <w:lang w:eastAsia="en-GB"/>
              </w:rPr>
              <w:t xml:space="preserve"> </w:t>
            </w:r>
            <w:r w:rsidR="00463F3E" w:rsidRPr="00F136B9">
              <w:rPr>
                <w:rFonts w:asciiTheme="minorHAnsi" w:eastAsia="Calibri" w:hAnsiTheme="minorHAnsi" w:cstheme="minorHAnsi"/>
                <w:color w:val="000000"/>
                <w:lang w:eastAsia="en-GB"/>
              </w:rPr>
              <w:t xml:space="preserve">Lambert </w:t>
            </w:r>
            <w:r w:rsidR="00463F3E">
              <w:rPr>
                <w:rFonts w:asciiTheme="minorHAnsi" w:eastAsia="Calibri" w:hAnsiTheme="minorHAnsi" w:cstheme="minorHAnsi"/>
                <w:color w:val="000000"/>
                <w:lang w:eastAsia="en-GB"/>
              </w:rPr>
              <w:br/>
              <w:t>Department of Health Sciences</w:t>
            </w:r>
            <w:r w:rsidR="00463F3E">
              <w:rPr>
                <w:rFonts w:asciiTheme="minorHAnsi" w:eastAsia="Calibri" w:hAnsiTheme="minorHAnsi" w:cstheme="minorHAnsi"/>
                <w:color w:val="000000"/>
                <w:lang w:eastAsia="en-GB"/>
              </w:rPr>
              <w:br/>
            </w:r>
            <w:r w:rsidR="00F136B9" w:rsidRPr="00F136B9">
              <w:rPr>
                <w:rFonts w:asciiTheme="minorHAnsi" w:eastAsia="Calibri" w:hAnsiTheme="minorHAnsi" w:cstheme="minorHAnsi"/>
                <w:color w:val="000000"/>
                <w:lang w:eastAsia="en-GB"/>
              </w:rPr>
              <w:t>pl4@le.ac.uk</w:t>
            </w:r>
          </w:p>
        </w:tc>
      </w:tr>
    </w:tbl>
    <w:p w14:paraId="45B16328" w14:textId="77777777" w:rsidR="0039206A" w:rsidRPr="00F136B9" w:rsidRDefault="0039206A" w:rsidP="0039206A">
      <w:pPr>
        <w:spacing w:line="240" w:lineRule="auto"/>
        <w:jc w:val="left"/>
        <w:rPr>
          <w:rFonts w:asciiTheme="minorHAnsi" w:eastAsia="Calibri" w:hAnsiTheme="minorHAnsi" w:cstheme="minorHAnsi"/>
          <w:b/>
          <w:color w:val="000000"/>
          <w:u w:val="single"/>
          <w:lang w:eastAsia="en-GB"/>
        </w:rPr>
      </w:pPr>
    </w:p>
    <w:p w14:paraId="4135DECE" w14:textId="77777777" w:rsidR="0039206A" w:rsidRPr="00F136B9" w:rsidRDefault="0039206A" w:rsidP="0039206A">
      <w:pPr>
        <w:spacing w:line="240" w:lineRule="auto"/>
        <w:jc w:val="left"/>
        <w:rPr>
          <w:rFonts w:asciiTheme="minorHAnsi" w:eastAsia="Calibri" w:hAnsiTheme="minorHAnsi" w:cstheme="minorHAnsi"/>
          <w:b/>
          <w:i/>
          <w:color w:val="000000"/>
          <w:lang w:eastAsia="en-GB"/>
        </w:rPr>
      </w:pPr>
      <w:r w:rsidRPr="00F136B9">
        <w:rPr>
          <w:rFonts w:asciiTheme="minorHAnsi" w:eastAsia="Calibri" w:hAnsiTheme="minorHAnsi" w:cstheme="minorHAnsi"/>
          <w:b/>
          <w:color w:val="000000"/>
          <w:lang w:eastAsia="en-GB"/>
        </w:rPr>
        <w:t xml:space="preserve">Section 2 – </w:t>
      </w:r>
      <w:r w:rsidRPr="00F136B9">
        <w:rPr>
          <w:rFonts w:asciiTheme="minorHAnsi" w:eastAsia="Calibri" w:hAnsiTheme="minorHAnsi" w:cstheme="minorHAnsi"/>
          <w:b/>
          <w:i/>
          <w:color w:val="000000"/>
          <w:lang w:eastAsia="en-GB"/>
        </w:rPr>
        <w:t>Project Information</w:t>
      </w:r>
    </w:p>
    <w:tbl>
      <w:tblPr>
        <w:tblStyle w:val="TableGrid"/>
        <w:tblW w:w="0" w:type="auto"/>
        <w:tblLook w:val="04A0" w:firstRow="1" w:lastRow="0" w:firstColumn="1" w:lastColumn="0" w:noHBand="0" w:noVBand="1"/>
      </w:tblPr>
      <w:tblGrid>
        <w:gridCol w:w="1980"/>
        <w:gridCol w:w="425"/>
        <w:gridCol w:w="6611"/>
      </w:tblGrid>
      <w:tr w:rsidR="0039206A" w:rsidRPr="00F136B9" w14:paraId="5C7F2245" w14:textId="77777777" w:rsidTr="00654390">
        <w:tc>
          <w:tcPr>
            <w:tcW w:w="1980" w:type="dxa"/>
            <w:shd w:val="clear" w:color="auto" w:fill="F2F2F2" w:themeFill="background1" w:themeFillShade="F2"/>
          </w:tcPr>
          <w:p w14:paraId="4AB1668B" w14:textId="77777777" w:rsidR="0039206A" w:rsidRPr="00F136B9" w:rsidRDefault="0039206A" w:rsidP="0039206A">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Project Title</w:t>
            </w:r>
          </w:p>
          <w:p w14:paraId="12B7B6F2" w14:textId="77777777" w:rsidR="0039206A" w:rsidRPr="00F136B9" w:rsidRDefault="0039206A" w:rsidP="0039206A">
            <w:pPr>
              <w:spacing w:after="160"/>
              <w:jc w:val="left"/>
              <w:rPr>
                <w:rFonts w:asciiTheme="minorHAnsi" w:eastAsia="Calibri" w:hAnsiTheme="minorHAnsi" w:cstheme="minorHAnsi"/>
                <w:b/>
                <w:color w:val="000000"/>
                <w:lang w:eastAsia="en-GB"/>
              </w:rPr>
            </w:pPr>
          </w:p>
        </w:tc>
        <w:tc>
          <w:tcPr>
            <w:tcW w:w="7036" w:type="dxa"/>
            <w:gridSpan w:val="2"/>
          </w:tcPr>
          <w:p w14:paraId="2CF20A3A" w14:textId="785C1B12" w:rsidR="0039206A" w:rsidRPr="00F136B9" w:rsidRDefault="00F136B9" w:rsidP="0039206A">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color w:val="000000"/>
                <w:lang w:eastAsia="en-GB"/>
              </w:rPr>
              <w:t>Adapting prognostic models for individuals with multiple long-term health conditions</w:t>
            </w:r>
          </w:p>
        </w:tc>
      </w:tr>
      <w:tr w:rsidR="00F136B9" w:rsidRPr="00F136B9" w14:paraId="0BA24187" w14:textId="77777777" w:rsidTr="00654390">
        <w:tc>
          <w:tcPr>
            <w:tcW w:w="1980" w:type="dxa"/>
            <w:vMerge w:val="restart"/>
            <w:shd w:val="clear" w:color="auto" w:fill="F2F2F2" w:themeFill="background1" w:themeFillShade="F2"/>
          </w:tcPr>
          <w:p w14:paraId="14528AAF" w14:textId="77777777" w:rsidR="00F136B9" w:rsidRPr="00F136B9" w:rsidRDefault="00F136B9" w:rsidP="00F136B9">
            <w:pPr>
              <w:spacing w:after="160"/>
              <w:jc w:val="left"/>
              <w:rPr>
                <w:rFonts w:asciiTheme="minorHAnsi" w:eastAsia="Calibri" w:hAnsiTheme="minorHAnsi" w:cstheme="minorHAnsi"/>
                <w:b/>
                <w:color w:val="000000"/>
                <w:lang w:eastAsia="en-GB"/>
              </w:rPr>
            </w:pPr>
            <w:r w:rsidRPr="00F136B9">
              <w:rPr>
                <w:rFonts w:asciiTheme="minorHAnsi" w:eastAsia="Calibri" w:hAnsiTheme="minorHAnsi" w:cstheme="minorHAnsi"/>
                <w:b/>
                <w:color w:val="000000"/>
                <w:lang w:eastAsia="en-GB"/>
              </w:rPr>
              <w:t>Project Highlights:</w:t>
            </w:r>
          </w:p>
        </w:tc>
        <w:tc>
          <w:tcPr>
            <w:tcW w:w="425" w:type="dxa"/>
            <w:shd w:val="clear" w:color="auto" w:fill="F2F2F2" w:themeFill="background1" w:themeFillShade="F2"/>
          </w:tcPr>
          <w:p w14:paraId="3D9F1857" w14:textId="77777777"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color w:val="000000"/>
                <w:lang w:eastAsia="en-GB"/>
              </w:rPr>
              <w:t>1.</w:t>
            </w:r>
          </w:p>
        </w:tc>
        <w:tc>
          <w:tcPr>
            <w:tcW w:w="6611" w:type="dxa"/>
          </w:tcPr>
          <w:p w14:paraId="1B75A75C" w14:textId="648F9F95"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hAnsiTheme="minorHAnsi" w:cstheme="minorHAnsi"/>
              </w:rPr>
              <w:t xml:space="preserve">Development of methods (and software) that can be used to improve the accuracy of risk predictions for patients with multiple long-term </w:t>
            </w:r>
            <w:r w:rsidR="00AC6185">
              <w:rPr>
                <w:rFonts w:asciiTheme="minorHAnsi" w:hAnsiTheme="minorHAnsi" w:cstheme="minorHAnsi"/>
              </w:rPr>
              <w:t>health</w:t>
            </w:r>
            <w:r w:rsidR="00384220">
              <w:rPr>
                <w:rFonts w:asciiTheme="minorHAnsi" w:hAnsiTheme="minorHAnsi" w:cstheme="minorHAnsi"/>
              </w:rPr>
              <w:t xml:space="preserve"> </w:t>
            </w:r>
            <w:r w:rsidRPr="00F136B9">
              <w:rPr>
                <w:rFonts w:asciiTheme="minorHAnsi" w:hAnsiTheme="minorHAnsi" w:cstheme="minorHAnsi"/>
              </w:rPr>
              <w:t>conditions</w:t>
            </w:r>
          </w:p>
        </w:tc>
      </w:tr>
      <w:tr w:rsidR="00F136B9" w:rsidRPr="00F136B9" w14:paraId="386423AB" w14:textId="77777777" w:rsidTr="00654390">
        <w:tc>
          <w:tcPr>
            <w:tcW w:w="1980" w:type="dxa"/>
            <w:vMerge/>
            <w:shd w:val="clear" w:color="auto" w:fill="F2F2F2" w:themeFill="background1" w:themeFillShade="F2"/>
          </w:tcPr>
          <w:p w14:paraId="6AB887FF" w14:textId="77777777" w:rsidR="00F136B9" w:rsidRPr="00F136B9" w:rsidRDefault="00F136B9" w:rsidP="00F136B9">
            <w:pPr>
              <w:spacing w:after="160"/>
              <w:jc w:val="left"/>
              <w:rPr>
                <w:rFonts w:asciiTheme="minorHAnsi" w:eastAsia="Calibri" w:hAnsiTheme="minorHAnsi" w:cstheme="minorHAnsi"/>
                <w:b/>
                <w:color w:val="000000"/>
                <w:lang w:eastAsia="en-GB"/>
              </w:rPr>
            </w:pPr>
          </w:p>
        </w:tc>
        <w:tc>
          <w:tcPr>
            <w:tcW w:w="425" w:type="dxa"/>
            <w:shd w:val="clear" w:color="auto" w:fill="F2F2F2" w:themeFill="background1" w:themeFillShade="F2"/>
          </w:tcPr>
          <w:p w14:paraId="44462511" w14:textId="77777777"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color w:val="000000"/>
                <w:lang w:eastAsia="en-GB"/>
              </w:rPr>
              <w:t>2.</w:t>
            </w:r>
          </w:p>
        </w:tc>
        <w:tc>
          <w:tcPr>
            <w:tcW w:w="6611" w:type="dxa"/>
          </w:tcPr>
          <w:p w14:paraId="5208D870" w14:textId="7933B0B4"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hAnsiTheme="minorHAnsi" w:cstheme="minorHAnsi"/>
              </w:rPr>
              <w:t xml:space="preserve">Extensive comparison of these methods to provide guidance on which method may be most appropriate in different scenarios </w:t>
            </w:r>
          </w:p>
        </w:tc>
      </w:tr>
      <w:tr w:rsidR="00F136B9" w:rsidRPr="00F136B9" w14:paraId="55C3CAE0" w14:textId="77777777" w:rsidTr="00654390">
        <w:tc>
          <w:tcPr>
            <w:tcW w:w="1980" w:type="dxa"/>
            <w:vMerge/>
            <w:shd w:val="clear" w:color="auto" w:fill="F2F2F2" w:themeFill="background1" w:themeFillShade="F2"/>
          </w:tcPr>
          <w:p w14:paraId="74B92EEF" w14:textId="77777777" w:rsidR="00F136B9" w:rsidRPr="00F136B9" w:rsidRDefault="00F136B9" w:rsidP="00F136B9">
            <w:pPr>
              <w:spacing w:after="160"/>
              <w:jc w:val="left"/>
              <w:rPr>
                <w:rFonts w:asciiTheme="minorHAnsi" w:eastAsia="Calibri" w:hAnsiTheme="minorHAnsi" w:cstheme="minorHAnsi"/>
                <w:b/>
                <w:color w:val="000000"/>
                <w:lang w:eastAsia="en-GB"/>
              </w:rPr>
            </w:pPr>
          </w:p>
        </w:tc>
        <w:tc>
          <w:tcPr>
            <w:tcW w:w="425" w:type="dxa"/>
            <w:shd w:val="clear" w:color="auto" w:fill="F2F2F2" w:themeFill="background1" w:themeFillShade="F2"/>
          </w:tcPr>
          <w:p w14:paraId="7F4A8287" w14:textId="77777777"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color w:val="000000"/>
                <w:lang w:eastAsia="en-GB"/>
              </w:rPr>
              <w:t>3.</w:t>
            </w:r>
          </w:p>
        </w:tc>
        <w:tc>
          <w:tcPr>
            <w:tcW w:w="6611" w:type="dxa"/>
          </w:tcPr>
          <w:p w14:paraId="687E710C" w14:textId="492FB573" w:rsidR="00F136B9" w:rsidRPr="00F136B9" w:rsidRDefault="00F136B9" w:rsidP="00F136B9">
            <w:pPr>
              <w:spacing w:after="160"/>
              <w:jc w:val="left"/>
              <w:rPr>
                <w:rFonts w:asciiTheme="minorHAnsi" w:eastAsia="Calibri" w:hAnsiTheme="minorHAnsi" w:cstheme="minorHAnsi"/>
                <w:color w:val="000000"/>
                <w:lang w:eastAsia="en-GB"/>
              </w:rPr>
            </w:pPr>
            <w:r w:rsidRPr="00F136B9">
              <w:rPr>
                <w:rFonts w:asciiTheme="minorHAnsi" w:hAnsiTheme="minorHAnsi" w:cstheme="minorHAnsi"/>
              </w:rPr>
              <w:t>Further methodological development to extend these approaches to competing risks</w:t>
            </w:r>
          </w:p>
        </w:tc>
      </w:tr>
      <w:tr w:rsidR="0039206A" w:rsidRPr="00F136B9" w14:paraId="78C09C5D" w14:textId="77777777" w:rsidTr="00654390">
        <w:tc>
          <w:tcPr>
            <w:tcW w:w="9016" w:type="dxa"/>
            <w:gridSpan w:val="3"/>
            <w:shd w:val="clear" w:color="auto" w:fill="F2F2F2" w:themeFill="background1" w:themeFillShade="F2"/>
          </w:tcPr>
          <w:p w14:paraId="534AD455" w14:textId="77777777" w:rsidR="0039206A" w:rsidRPr="00F136B9" w:rsidRDefault="0039206A" w:rsidP="0039206A">
            <w:pPr>
              <w:spacing w:after="160"/>
              <w:jc w:val="left"/>
              <w:rPr>
                <w:rFonts w:asciiTheme="minorHAnsi" w:eastAsia="Calibri" w:hAnsiTheme="minorHAnsi" w:cstheme="minorHAnsi"/>
                <w:color w:val="000000"/>
                <w:lang w:eastAsia="en-GB"/>
              </w:rPr>
            </w:pPr>
            <w:r w:rsidRPr="00F136B9">
              <w:rPr>
                <w:rFonts w:asciiTheme="minorHAnsi" w:eastAsia="Calibri" w:hAnsiTheme="minorHAnsi" w:cstheme="minorHAnsi"/>
                <w:b/>
                <w:color w:val="000000"/>
                <w:lang w:eastAsia="en-GB"/>
              </w:rPr>
              <w:t xml:space="preserve">Project Summary </w:t>
            </w:r>
          </w:p>
        </w:tc>
      </w:tr>
      <w:tr w:rsidR="0039206A" w:rsidRPr="00F136B9" w14:paraId="0BAB11B3" w14:textId="77777777" w:rsidTr="00654390">
        <w:tc>
          <w:tcPr>
            <w:tcW w:w="9016" w:type="dxa"/>
            <w:gridSpan w:val="3"/>
          </w:tcPr>
          <w:p w14:paraId="596EC24E" w14:textId="2D9AAF6D" w:rsidR="00F136B9" w:rsidRPr="00F136B9" w:rsidRDefault="00F136B9" w:rsidP="000F0ED9">
            <w:pPr>
              <w:jc w:val="left"/>
              <w:rPr>
                <w:rFonts w:asciiTheme="minorHAnsi" w:hAnsiTheme="minorHAnsi" w:cstheme="minorHAnsi"/>
              </w:rPr>
            </w:pPr>
            <w:r w:rsidRPr="00F136B9">
              <w:rPr>
                <w:rFonts w:asciiTheme="minorHAnsi" w:hAnsiTheme="minorHAnsi" w:cstheme="minorHAnsi"/>
              </w:rPr>
              <w:t xml:space="preserve">Prognostic models can be used to provide personalised risk predictions for patients based on their characteristics. For example, a prognostic model for cancer may take into account an individual’s age and </w:t>
            </w:r>
            <w:r w:rsidR="005409DF">
              <w:rPr>
                <w:rFonts w:asciiTheme="minorHAnsi" w:hAnsiTheme="minorHAnsi" w:cstheme="minorHAnsi"/>
              </w:rPr>
              <w:t xml:space="preserve">the </w:t>
            </w:r>
            <w:r w:rsidR="003940C8">
              <w:rPr>
                <w:rFonts w:asciiTheme="minorHAnsi" w:hAnsiTheme="minorHAnsi" w:cstheme="minorHAnsi"/>
              </w:rPr>
              <w:t xml:space="preserve">size </w:t>
            </w:r>
            <w:r w:rsidRPr="00F136B9">
              <w:rPr>
                <w:rFonts w:asciiTheme="minorHAnsi" w:hAnsiTheme="minorHAnsi" w:cstheme="minorHAnsi"/>
              </w:rPr>
              <w:t>of</w:t>
            </w:r>
            <w:r w:rsidR="003940C8">
              <w:rPr>
                <w:rFonts w:asciiTheme="minorHAnsi" w:hAnsiTheme="minorHAnsi" w:cstheme="minorHAnsi"/>
              </w:rPr>
              <w:t xml:space="preserve"> their</w:t>
            </w:r>
            <w:r w:rsidRPr="00F136B9">
              <w:rPr>
                <w:rFonts w:asciiTheme="minorHAnsi" w:hAnsiTheme="minorHAnsi" w:cstheme="minorHAnsi"/>
              </w:rPr>
              <w:t xml:space="preserve"> tumour. These predictions can be used to inform patients of their likely prognosis and also aid clinicians in choosing an appropriate treatment strategy.</w:t>
            </w:r>
          </w:p>
          <w:p w14:paraId="09210707" w14:textId="77777777" w:rsidR="00F136B9" w:rsidRPr="00F136B9" w:rsidRDefault="00F136B9" w:rsidP="000F0ED9">
            <w:pPr>
              <w:jc w:val="left"/>
              <w:rPr>
                <w:rFonts w:asciiTheme="minorHAnsi" w:hAnsiTheme="minorHAnsi" w:cstheme="minorHAnsi"/>
              </w:rPr>
            </w:pPr>
          </w:p>
          <w:p w14:paraId="53173F1B" w14:textId="7FD1BE0C" w:rsidR="00F136B9" w:rsidRPr="00F136B9" w:rsidRDefault="00F136B9" w:rsidP="000F0ED9">
            <w:pPr>
              <w:jc w:val="left"/>
              <w:rPr>
                <w:rFonts w:asciiTheme="minorHAnsi" w:hAnsiTheme="minorHAnsi" w:cstheme="minorHAnsi"/>
              </w:rPr>
            </w:pPr>
            <w:r w:rsidRPr="00F136B9">
              <w:rPr>
                <w:rFonts w:asciiTheme="minorHAnsi" w:hAnsiTheme="minorHAnsi" w:cstheme="minorHAnsi"/>
              </w:rPr>
              <w:t xml:space="preserve">However, often prognostic models will not produce accurate risk predictions for patients who have multiple long-term health </w:t>
            </w:r>
            <w:r w:rsidR="000D719B">
              <w:rPr>
                <w:rFonts w:asciiTheme="minorHAnsi" w:hAnsiTheme="minorHAnsi" w:cstheme="minorHAnsi"/>
              </w:rPr>
              <w:t xml:space="preserve">conditions </w:t>
            </w:r>
            <w:r w:rsidRPr="00F136B9">
              <w:rPr>
                <w:rFonts w:asciiTheme="minorHAnsi" w:hAnsiTheme="minorHAnsi" w:cstheme="minorHAnsi"/>
              </w:rPr>
              <w:t>(e.g. cardiovascular disease, diabetes) since this is not accounted for as part of the model development process. This may adversely affect patient outcomes if treatment decisions are based on these inaccurate predictions.</w:t>
            </w:r>
          </w:p>
          <w:p w14:paraId="3DDCC50D" w14:textId="77777777" w:rsidR="00F136B9" w:rsidRPr="00F136B9" w:rsidRDefault="00F136B9" w:rsidP="000F0ED9">
            <w:pPr>
              <w:jc w:val="left"/>
              <w:rPr>
                <w:rFonts w:asciiTheme="minorHAnsi" w:hAnsiTheme="minorHAnsi" w:cstheme="minorHAnsi"/>
              </w:rPr>
            </w:pPr>
          </w:p>
          <w:p w14:paraId="5980602F" w14:textId="77777777" w:rsidR="00F136B9" w:rsidRPr="00F136B9" w:rsidRDefault="00F136B9" w:rsidP="000F0ED9">
            <w:pPr>
              <w:jc w:val="left"/>
              <w:rPr>
                <w:rFonts w:asciiTheme="minorHAnsi" w:hAnsiTheme="minorHAnsi" w:cstheme="minorHAnsi"/>
              </w:rPr>
            </w:pPr>
            <w:r w:rsidRPr="00F136B9">
              <w:rPr>
                <w:rFonts w:asciiTheme="minorHAnsi" w:hAnsiTheme="minorHAnsi" w:cstheme="minorHAnsi"/>
              </w:rPr>
              <w:t xml:space="preserve">The overall aim of this project is to develop and compare methods that can be used to improve the accuracy of risk predictions for patients with multiple long-term health conditions. </w:t>
            </w:r>
          </w:p>
          <w:p w14:paraId="2CF6CA76" w14:textId="77777777" w:rsidR="00F136B9" w:rsidRPr="00F136B9" w:rsidRDefault="00F136B9" w:rsidP="000F0ED9">
            <w:pPr>
              <w:jc w:val="left"/>
              <w:rPr>
                <w:rFonts w:asciiTheme="minorHAnsi" w:hAnsiTheme="minorHAnsi" w:cstheme="minorHAnsi"/>
              </w:rPr>
            </w:pPr>
            <w:r w:rsidRPr="00F136B9">
              <w:rPr>
                <w:rFonts w:asciiTheme="minorHAnsi" w:hAnsiTheme="minorHAnsi" w:cstheme="minorHAnsi"/>
              </w:rPr>
              <w:t xml:space="preserve">This will include methods such as: </w:t>
            </w:r>
          </w:p>
          <w:p w14:paraId="12C1CD1D" w14:textId="240B94CA" w:rsidR="00F136B9" w:rsidRPr="00F136B9" w:rsidRDefault="00F136B9" w:rsidP="000F0ED9">
            <w:pPr>
              <w:pStyle w:val="ListParagraph"/>
              <w:widowControl w:val="0"/>
              <w:numPr>
                <w:ilvl w:val="0"/>
                <w:numId w:val="11"/>
              </w:numPr>
              <w:autoSpaceDE w:val="0"/>
              <w:autoSpaceDN w:val="0"/>
              <w:contextualSpacing w:val="0"/>
              <w:jc w:val="left"/>
              <w:rPr>
                <w:rFonts w:asciiTheme="minorHAnsi" w:hAnsiTheme="minorHAnsi" w:cstheme="minorHAnsi"/>
              </w:rPr>
            </w:pPr>
            <w:r w:rsidRPr="00F136B9">
              <w:rPr>
                <w:rFonts w:asciiTheme="minorHAnsi" w:hAnsiTheme="minorHAnsi" w:cstheme="minorHAnsi"/>
              </w:rPr>
              <w:lastRenderedPageBreak/>
              <w:t>Adapting existing prognostic models to incorporate additional predictors relating</w:t>
            </w:r>
            <w:r w:rsidR="00345A11">
              <w:rPr>
                <w:rFonts w:asciiTheme="minorHAnsi" w:hAnsiTheme="minorHAnsi" w:cstheme="minorHAnsi"/>
              </w:rPr>
              <w:t xml:space="preserve"> to</w:t>
            </w:r>
            <w:r w:rsidRPr="00F136B9">
              <w:rPr>
                <w:rFonts w:asciiTheme="minorHAnsi" w:hAnsiTheme="minorHAnsi" w:cstheme="minorHAnsi"/>
              </w:rPr>
              <w:t xml:space="preserve"> the diagnosis of a long-term health condition (e.g. diabetes, high blood pressure, chronic kidney disease)</w:t>
            </w:r>
          </w:p>
          <w:p w14:paraId="2FE68683" w14:textId="77777777" w:rsidR="00F136B9" w:rsidRPr="00F136B9" w:rsidRDefault="00F136B9" w:rsidP="000F0ED9">
            <w:pPr>
              <w:pStyle w:val="ListParagraph"/>
              <w:widowControl w:val="0"/>
              <w:numPr>
                <w:ilvl w:val="0"/>
                <w:numId w:val="11"/>
              </w:numPr>
              <w:autoSpaceDE w:val="0"/>
              <w:autoSpaceDN w:val="0"/>
              <w:contextualSpacing w:val="0"/>
              <w:jc w:val="left"/>
              <w:rPr>
                <w:rFonts w:asciiTheme="minorHAnsi" w:hAnsiTheme="minorHAnsi" w:cstheme="minorHAnsi"/>
              </w:rPr>
            </w:pPr>
            <w:r w:rsidRPr="00F136B9">
              <w:rPr>
                <w:rFonts w:asciiTheme="minorHAnsi" w:hAnsiTheme="minorHAnsi" w:cstheme="minorHAnsi"/>
              </w:rPr>
              <w:t xml:space="preserve">Including a comorbidity index as a predictor </w:t>
            </w:r>
          </w:p>
          <w:p w14:paraId="39C3132D" w14:textId="77777777" w:rsidR="00F136B9" w:rsidRPr="00F136B9" w:rsidRDefault="00F136B9" w:rsidP="000F0ED9">
            <w:pPr>
              <w:pStyle w:val="ListParagraph"/>
              <w:widowControl w:val="0"/>
              <w:numPr>
                <w:ilvl w:val="0"/>
                <w:numId w:val="11"/>
              </w:numPr>
              <w:autoSpaceDE w:val="0"/>
              <w:autoSpaceDN w:val="0"/>
              <w:contextualSpacing w:val="0"/>
              <w:jc w:val="left"/>
              <w:rPr>
                <w:rFonts w:asciiTheme="minorHAnsi" w:hAnsiTheme="minorHAnsi" w:cstheme="minorHAnsi"/>
              </w:rPr>
            </w:pPr>
            <w:r w:rsidRPr="00F136B9">
              <w:rPr>
                <w:rFonts w:asciiTheme="minorHAnsi" w:hAnsiTheme="minorHAnsi" w:cstheme="minorHAnsi"/>
              </w:rPr>
              <w:t>Recalibrating existing prognostic models amongst individuals who have multiple long-term health conditions to re-estimate the baseline risk</w:t>
            </w:r>
          </w:p>
          <w:p w14:paraId="0BC3790C" w14:textId="77777777" w:rsidR="00F136B9" w:rsidRPr="00F136B9" w:rsidRDefault="00F136B9" w:rsidP="000F0ED9">
            <w:pPr>
              <w:pStyle w:val="ListParagraph"/>
              <w:jc w:val="left"/>
              <w:rPr>
                <w:rFonts w:asciiTheme="minorHAnsi" w:hAnsiTheme="minorHAnsi" w:cstheme="minorHAnsi"/>
              </w:rPr>
            </w:pPr>
          </w:p>
          <w:p w14:paraId="650770B6" w14:textId="77777777" w:rsidR="00F136B9" w:rsidRPr="00F136B9" w:rsidRDefault="00F136B9" w:rsidP="000F0ED9">
            <w:pPr>
              <w:jc w:val="left"/>
              <w:rPr>
                <w:rFonts w:asciiTheme="minorHAnsi" w:hAnsiTheme="minorHAnsi" w:cstheme="minorHAnsi"/>
              </w:rPr>
            </w:pPr>
            <w:r w:rsidRPr="00F136B9">
              <w:rPr>
                <w:rFonts w:asciiTheme="minorHAnsi" w:hAnsiTheme="minorHAnsi" w:cstheme="minorHAnsi"/>
              </w:rPr>
              <w:t xml:space="preserve">These methods will be compared using simulation studies to provide guidance as to which method may be most appropriate in different scenarios given the clinical application and limitations of the available data. These methods will also be compared using real-world data from the Clinical Research Practice Datalink (CPRD) and the Virtual Cardio-Oncology Research Initiative (VICORI) database. Software will also be developed to help transfer these methods into practice. </w:t>
            </w:r>
          </w:p>
          <w:p w14:paraId="697BEE86" w14:textId="77777777" w:rsidR="00F136B9" w:rsidRPr="00F136B9" w:rsidRDefault="00F136B9" w:rsidP="000F0ED9">
            <w:pPr>
              <w:jc w:val="left"/>
              <w:rPr>
                <w:rFonts w:asciiTheme="minorHAnsi" w:hAnsiTheme="minorHAnsi" w:cstheme="minorHAnsi"/>
              </w:rPr>
            </w:pPr>
          </w:p>
          <w:p w14:paraId="78D482CE" w14:textId="221468CF" w:rsidR="0039206A" w:rsidRPr="00F136B9" w:rsidRDefault="00CA5E87" w:rsidP="00CA5E87">
            <w:pPr>
              <w:spacing w:after="160"/>
              <w:jc w:val="left"/>
              <w:rPr>
                <w:rFonts w:asciiTheme="minorHAnsi" w:eastAsia="Calibri" w:hAnsiTheme="minorHAnsi" w:cstheme="minorHAnsi"/>
                <w:b/>
                <w:color w:val="000000"/>
                <w:lang w:eastAsia="en-GB"/>
              </w:rPr>
            </w:pPr>
            <w:r>
              <w:rPr>
                <w:rFonts w:asciiTheme="minorHAnsi" w:hAnsiTheme="minorHAnsi" w:cstheme="minorHAnsi"/>
              </w:rPr>
              <w:t xml:space="preserve">These approaches can then </w:t>
            </w:r>
            <w:r w:rsidR="00F136B9" w:rsidRPr="00F136B9">
              <w:rPr>
                <w:rFonts w:asciiTheme="minorHAnsi" w:hAnsiTheme="minorHAnsi" w:cstheme="minorHAnsi"/>
              </w:rPr>
              <w:t>be extended to the competing risk setting where individuals are at risk from more than one outcome. For example, when developing a prognostic model for survival following a diagnosis of cancer, it is possible to predict an individual’s risk of death from cancer as well as their risk of death from other causes such as cardiovascular disease. This can help to further personalise treatment strategies, particularly amongst individuals with multiple long-term</w:t>
            </w:r>
            <w:r w:rsidR="00EF76DB">
              <w:rPr>
                <w:rFonts w:asciiTheme="minorHAnsi" w:hAnsiTheme="minorHAnsi" w:cstheme="minorHAnsi"/>
              </w:rPr>
              <w:t xml:space="preserve"> health</w:t>
            </w:r>
            <w:r w:rsidR="00F136B9" w:rsidRPr="00F136B9">
              <w:rPr>
                <w:rFonts w:asciiTheme="minorHAnsi" w:hAnsiTheme="minorHAnsi" w:cstheme="minorHAnsi"/>
              </w:rPr>
              <w:t xml:space="preserve"> conditions who will be at a higher risk of death from specific causes. </w:t>
            </w:r>
          </w:p>
        </w:tc>
      </w:tr>
    </w:tbl>
    <w:p w14:paraId="3CD2B30E" w14:textId="77777777" w:rsidR="002240E0" w:rsidRPr="00F136B9" w:rsidRDefault="002240E0">
      <w:pPr>
        <w:rPr>
          <w:rFonts w:asciiTheme="minorHAnsi" w:hAnsiTheme="minorHAnsi" w:cstheme="minorHAnsi"/>
        </w:rPr>
      </w:pPr>
    </w:p>
    <w:sectPr w:rsidR="002240E0" w:rsidRPr="00F13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197F"/>
    <w:multiLevelType w:val="hybridMultilevel"/>
    <w:tmpl w:val="98B2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06A"/>
    <w:rsid w:val="00087C0E"/>
    <w:rsid w:val="000C280D"/>
    <w:rsid w:val="000D719B"/>
    <w:rsid w:val="000F0ED9"/>
    <w:rsid w:val="002240E0"/>
    <w:rsid w:val="002D7D74"/>
    <w:rsid w:val="00345A11"/>
    <w:rsid w:val="00384220"/>
    <w:rsid w:val="00390851"/>
    <w:rsid w:val="0039206A"/>
    <w:rsid w:val="003940C8"/>
    <w:rsid w:val="0044601C"/>
    <w:rsid w:val="004464F6"/>
    <w:rsid w:val="00463F3E"/>
    <w:rsid w:val="0047561F"/>
    <w:rsid w:val="004A1A7A"/>
    <w:rsid w:val="00530278"/>
    <w:rsid w:val="005409DF"/>
    <w:rsid w:val="00553917"/>
    <w:rsid w:val="00584C04"/>
    <w:rsid w:val="00615315"/>
    <w:rsid w:val="00626CF0"/>
    <w:rsid w:val="00651F0E"/>
    <w:rsid w:val="00784457"/>
    <w:rsid w:val="00966622"/>
    <w:rsid w:val="009C539E"/>
    <w:rsid w:val="009E2052"/>
    <w:rsid w:val="00AC6185"/>
    <w:rsid w:val="00AC72BB"/>
    <w:rsid w:val="00B001E7"/>
    <w:rsid w:val="00C021C3"/>
    <w:rsid w:val="00CA5E87"/>
    <w:rsid w:val="00CF1BBA"/>
    <w:rsid w:val="00D50E9B"/>
    <w:rsid w:val="00D62B51"/>
    <w:rsid w:val="00D7193B"/>
    <w:rsid w:val="00E2139B"/>
    <w:rsid w:val="00E50139"/>
    <w:rsid w:val="00E575ED"/>
    <w:rsid w:val="00EE0E63"/>
    <w:rsid w:val="00EF76DB"/>
    <w:rsid w:val="00F136B9"/>
    <w:rsid w:val="00FA6C89"/>
    <w:rsid w:val="17E5E89C"/>
    <w:rsid w:val="7D97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FEB5C"/>
  <w15:chartTrackingRefBased/>
  <w15:docId w15:val="{5629B51A-9715-45F9-AD17-8B44F09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92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39E"/>
    <w:rPr>
      <w:color w:val="0563C1" w:themeColor="hyperlink"/>
      <w:u w:val="single"/>
    </w:rPr>
  </w:style>
  <w:style w:type="character" w:styleId="UnresolvedMention">
    <w:name w:val="Unresolved Mention"/>
    <w:basedOn w:val="DefaultParagraphFont"/>
    <w:uiPriority w:val="99"/>
    <w:semiHidden/>
    <w:unhideWhenUsed/>
    <w:rsid w:val="009C5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7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ooth@le.ac.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969C4A9A0BC46AE83277D8D536E76" ma:contentTypeVersion="4" ma:contentTypeDescription="Create a new document." ma:contentTypeScope="" ma:versionID="975ecf6f64cda266e9f076e4187e8a28">
  <xsd:schema xmlns:xsd="http://www.w3.org/2001/XMLSchema" xmlns:xs="http://www.w3.org/2001/XMLSchema" xmlns:p="http://schemas.microsoft.com/office/2006/metadata/properties" xmlns:ns2="b42c51a1-7bb1-470c-96c1-d1b7d2ec83d0" xmlns:ns3="bf033fbc-1947-4f11-bd49-487848004ae5" targetNamespace="http://schemas.microsoft.com/office/2006/metadata/properties" ma:root="true" ma:fieldsID="0419f1783e087bebbb5a46896498954b" ns2:_="" ns3:_="">
    <xsd:import namespace="b42c51a1-7bb1-470c-96c1-d1b7d2ec83d0"/>
    <xsd:import namespace="bf033fbc-1947-4f11-bd49-487848004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c51a1-7bb1-470c-96c1-d1b7d2ec8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033fbc-1947-4f11-bd49-487848004a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144AF-A1AD-460F-9358-55C873737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c51a1-7bb1-470c-96c1-d1b7d2ec83d0"/>
    <ds:schemaRef ds:uri="bf033fbc-1947-4f11-bd49-4878480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E87757-81F7-4F0B-A275-E3A3F8BF5C7F}">
  <ds:schemaRefs>
    <ds:schemaRef ds:uri="http://schemas.microsoft.com/sharepoint/v3/contenttype/forms"/>
  </ds:schemaRefs>
</ds:datastoreItem>
</file>

<file path=customXml/itemProps3.xml><?xml version="1.0" encoding="utf-8"?>
<ds:datastoreItem xmlns:ds="http://schemas.openxmlformats.org/officeDocument/2006/customXml" ds:itemID="{7EDDF0F4-ABB4-4E1F-8E4D-D1032F363A1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e275ff-89cc-44e6-b4bf-7f0856b3333d"/>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Company>University of Leicester</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3</cp:revision>
  <dcterms:created xsi:type="dcterms:W3CDTF">2022-11-20T13:28:00Z</dcterms:created>
  <dcterms:modified xsi:type="dcterms:W3CDTF">2022-11-21T12:04:00Z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0x010100DC7969C4A9A0BC46AE83277D8D536E76</vt:lpwstr>
  </property>
</Properties>
</file>