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AE49" w14:textId="77777777" w:rsidR="00D305D7" w:rsidRDefault="00D305D7" w:rsidP="00D305D7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771AF3C4" w14:textId="77777777" w:rsidR="00D305D7" w:rsidRDefault="00D305D7" w:rsidP="00D305D7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p w14:paraId="21C7B97E" w14:textId="77777777" w:rsidR="00B4202C" w:rsidRDefault="00B4202C" w:rsidP="0032789D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32789D" w:rsidRPr="00066C81" w14:paraId="2810089A" w14:textId="77777777" w:rsidTr="005A389F">
        <w:tc>
          <w:tcPr>
            <w:tcW w:w="3227" w:type="dxa"/>
            <w:shd w:val="clear" w:color="auto" w:fill="F2F2F2" w:themeFill="background1" w:themeFillShade="F2"/>
          </w:tcPr>
          <w:p w14:paraId="071EA6BE" w14:textId="77777777" w:rsidR="0032789D" w:rsidRPr="00066C81" w:rsidRDefault="0032789D" w:rsidP="005A389F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3DEF800B" w14:textId="61704134" w:rsidR="0032789D" w:rsidRPr="00066C81" w:rsidRDefault="00311A86" w:rsidP="005A389F">
            <w:r>
              <w:t>H</w:t>
            </w:r>
            <w:r w:rsidR="004B78BF">
              <w:t>C</w:t>
            </w:r>
            <w:r>
              <w:t xml:space="preserve"> Wright</w:t>
            </w:r>
          </w:p>
        </w:tc>
      </w:tr>
    </w:tbl>
    <w:p w14:paraId="0A26D749" w14:textId="77777777" w:rsidR="0032789D" w:rsidRDefault="0032789D" w:rsidP="0032789D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32789D" w:rsidRPr="00066C81" w14:paraId="4295B495" w14:textId="77777777" w:rsidTr="005A389F">
        <w:tc>
          <w:tcPr>
            <w:tcW w:w="3227" w:type="dxa"/>
            <w:shd w:val="clear" w:color="auto" w:fill="F2F2F2" w:themeFill="background1" w:themeFillShade="F2"/>
          </w:tcPr>
          <w:p w14:paraId="0F1DCF1C" w14:textId="77777777" w:rsidR="0032789D" w:rsidRPr="00066C81" w:rsidRDefault="0032789D" w:rsidP="005A389F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059F1282" w14:textId="0038062B" w:rsidR="0032789D" w:rsidRPr="00066C81" w:rsidRDefault="005D6C47" w:rsidP="005A389F">
            <w:r>
              <w:t xml:space="preserve">Professor </w:t>
            </w:r>
            <w:r w:rsidR="0032789D">
              <w:t>David John Wright</w:t>
            </w:r>
          </w:p>
        </w:tc>
      </w:tr>
      <w:tr w:rsidR="0032789D" w:rsidRPr="00066C81" w14:paraId="125D3BF7" w14:textId="77777777" w:rsidTr="005A389F">
        <w:tc>
          <w:tcPr>
            <w:tcW w:w="3227" w:type="dxa"/>
            <w:shd w:val="clear" w:color="auto" w:fill="F2F2F2" w:themeFill="background1" w:themeFillShade="F2"/>
          </w:tcPr>
          <w:p w14:paraId="043D8A2E" w14:textId="77777777" w:rsidR="0032789D" w:rsidRPr="00066C81" w:rsidRDefault="0032789D" w:rsidP="005A389F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47EAB637" w14:textId="3665BDDB" w:rsidR="0032789D" w:rsidRPr="00066C81" w:rsidRDefault="004B78BF" w:rsidP="005A389F">
            <w:r>
              <w:t xml:space="preserve">School of </w:t>
            </w:r>
            <w:r w:rsidR="0032789D">
              <w:t>Healthcare</w:t>
            </w:r>
          </w:p>
        </w:tc>
      </w:tr>
      <w:tr w:rsidR="0032789D" w:rsidRPr="00066C81" w14:paraId="68AA6EBF" w14:textId="77777777" w:rsidTr="005A389F">
        <w:tc>
          <w:tcPr>
            <w:tcW w:w="3227" w:type="dxa"/>
            <w:shd w:val="clear" w:color="auto" w:fill="F2F2F2" w:themeFill="background1" w:themeFillShade="F2"/>
          </w:tcPr>
          <w:p w14:paraId="1DD2405C" w14:textId="77777777" w:rsidR="0032789D" w:rsidRPr="00066C81" w:rsidRDefault="0032789D" w:rsidP="005A389F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25FBC3CB" w14:textId="77777777" w:rsidR="0032789D" w:rsidRPr="00066C81" w:rsidRDefault="0032789D" w:rsidP="005A389F">
            <w:r>
              <w:t>d.j.wright@leicester.ac.uk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6930954" w14:textId="77777777" w:rsidR="0032789D" w:rsidRPr="00066C81" w:rsidRDefault="0032789D" w:rsidP="005A389F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1D9B967" w14:textId="77777777" w:rsidR="0032789D" w:rsidRPr="00066C81" w:rsidRDefault="0032789D" w:rsidP="005A389F">
            <w:r>
              <w:t>5992</w:t>
            </w:r>
          </w:p>
        </w:tc>
      </w:tr>
    </w:tbl>
    <w:p w14:paraId="6D67766B" w14:textId="77777777" w:rsidR="0032789D" w:rsidRDefault="0032789D" w:rsidP="0032789D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32789D" w14:paraId="69898AF0" w14:textId="77777777" w:rsidTr="005A389F">
        <w:tc>
          <w:tcPr>
            <w:tcW w:w="3256" w:type="dxa"/>
            <w:shd w:val="clear" w:color="auto" w:fill="F2F2F2" w:themeFill="background1" w:themeFillShade="F2"/>
          </w:tcPr>
          <w:p w14:paraId="3536C954" w14:textId="77777777" w:rsidR="0032789D" w:rsidRPr="00B11D52" w:rsidRDefault="0032789D" w:rsidP="005A389F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1D66912" w14:textId="638D4E8C" w:rsidR="0032789D" w:rsidRDefault="005D6C47" w:rsidP="005A389F">
            <w:r>
              <w:t xml:space="preserve">Dr </w:t>
            </w:r>
            <w:r w:rsidR="0032789D">
              <w:t>Linda Birt</w:t>
            </w:r>
          </w:p>
        </w:tc>
      </w:tr>
      <w:tr w:rsidR="0032789D" w14:paraId="1B77C27A" w14:textId="77777777" w:rsidTr="005A389F">
        <w:tc>
          <w:tcPr>
            <w:tcW w:w="3256" w:type="dxa"/>
            <w:shd w:val="clear" w:color="auto" w:fill="F2F2F2" w:themeFill="background1" w:themeFillShade="F2"/>
          </w:tcPr>
          <w:p w14:paraId="5CA40A41" w14:textId="77777777" w:rsidR="0032789D" w:rsidRDefault="0032789D" w:rsidP="005A389F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1C2A3D20" w14:textId="77777777" w:rsidR="0032789D" w:rsidRDefault="0032789D" w:rsidP="005A389F">
            <w:r>
              <w:t>Healthcare</w:t>
            </w:r>
          </w:p>
        </w:tc>
      </w:tr>
      <w:tr w:rsidR="0032789D" w14:paraId="12DDAC25" w14:textId="77777777" w:rsidTr="005A389F">
        <w:tc>
          <w:tcPr>
            <w:tcW w:w="3256" w:type="dxa"/>
            <w:shd w:val="clear" w:color="auto" w:fill="F2F2F2" w:themeFill="background1" w:themeFillShade="F2"/>
          </w:tcPr>
          <w:p w14:paraId="5C6C9198" w14:textId="77777777" w:rsidR="0032789D" w:rsidRDefault="0032789D" w:rsidP="005A389F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4C1A54CD" w14:textId="77777777" w:rsidR="0032789D" w:rsidRDefault="0032789D" w:rsidP="005A389F">
            <w:r>
              <w:t>Linda.birt@leicester.ac.uk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341B7C" w14:textId="77777777" w:rsidR="0032789D" w:rsidRPr="008D3AC2" w:rsidRDefault="0032789D" w:rsidP="005A389F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F0F23CF" w14:textId="77777777" w:rsidR="0032789D" w:rsidRDefault="0032789D" w:rsidP="005A389F"/>
        </w:tc>
      </w:tr>
    </w:tbl>
    <w:p w14:paraId="5D21C927" w14:textId="77777777" w:rsidR="0032789D" w:rsidRDefault="0032789D" w:rsidP="0032789D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32789D" w14:paraId="083200CB" w14:textId="77777777" w:rsidTr="005A389F">
        <w:tc>
          <w:tcPr>
            <w:tcW w:w="3256" w:type="dxa"/>
            <w:shd w:val="clear" w:color="auto" w:fill="F2F2F2" w:themeFill="background1" w:themeFillShade="F2"/>
          </w:tcPr>
          <w:p w14:paraId="742EC278" w14:textId="77777777" w:rsidR="0032789D" w:rsidRPr="00B11D52" w:rsidRDefault="0032789D" w:rsidP="005A389F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40E7659D" w14:textId="47AF1DBF" w:rsidR="0032789D" w:rsidRDefault="008D5A2D" w:rsidP="005A389F">
            <w:r w:rsidRPr="008D5A2D">
              <w:t>Francine De Stoppelaar · Executive Director Healthcare</w:t>
            </w:r>
            <w:r>
              <w:t>, Cleveland Clinic, London</w:t>
            </w:r>
          </w:p>
        </w:tc>
      </w:tr>
    </w:tbl>
    <w:p w14:paraId="01552D8A" w14:textId="77777777" w:rsidR="0032789D" w:rsidRDefault="0032789D" w:rsidP="0032789D">
      <w:pPr>
        <w:spacing w:after="0" w:line="240" w:lineRule="auto"/>
        <w:rPr>
          <w:b/>
          <w:u w:val="single"/>
        </w:rPr>
      </w:pPr>
    </w:p>
    <w:p w14:paraId="3BC0A6AE" w14:textId="77777777" w:rsidR="0032789D" w:rsidRPr="006B05B2" w:rsidRDefault="0032789D" w:rsidP="0032789D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32789D" w14:paraId="3A36ED2D" w14:textId="77777777" w:rsidTr="333BE234">
        <w:tc>
          <w:tcPr>
            <w:tcW w:w="1980" w:type="dxa"/>
            <w:shd w:val="clear" w:color="auto" w:fill="F2F2F2" w:themeFill="background1" w:themeFillShade="F2"/>
          </w:tcPr>
          <w:p w14:paraId="68C726BE" w14:textId="77777777" w:rsidR="0032789D" w:rsidRDefault="0032789D" w:rsidP="005A389F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3B2641E8" w14:textId="77777777" w:rsidR="0032789D" w:rsidRPr="00B11D52" w:rsidRDefault="0032789D" w:rsidP="005A389F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45BB36ED" w14:textId="37154CE0" w:rsidR="0032789D" w:rsidRDefault="0032789D" w:rsidP="005A389F">
            <w:r>
              <w:t>Development of an international standard for observing and capturing medication administration errors</w:t>
            </w:r>
            <w:r w:rsidR="000B48C8">
              <w:t xml:space="preserve"> in secondary care</w:t>
            </w:r>
          </w:p>
        </w:tc>
      </w:tr>
      <w:tr w:rsidR="0032789D" w14:paraId="22CFD205" w14:textId="77777777" w:rsidTr="333BE234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6835B156" w14:textId="77777777" w:rsidR="0032789D" w:rsidRDefault="0032789D" w:rsidP="005A389F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EE10FD9" w14:textId="77777777" w:rsidR="0032789D" w:rsidRDefault="0032789D" w:rsidP="005A389F">
            <w:r>
              <w:t>1.</w:t>
            </w:r>
          </w:p>
        </w:tc>
        <w:tc>
          <w:tcPr>
            <w:tcW w:w="6611" w:type="dxa"/>
          </w:tcPr>
          <w:p w14:paraId="4B29EF58" w14:textId="77777777" w:rsidR="0032789D" w:rsidRDefault="008D1907" w:rsidP="005A389F">
            <w:r>
              <w:t>Synthesis of evidence and consensus methodology to inform the design of a medication administration error taxonomy.</w:t>
            </w:r>
          </w:p>
        </w:tc>
      </w:tr>
      <w:tr w:rsidR="0032789D" w14:paraId="5CC5B78F" w14:textId="77777777" w:rsidTr="333BE234">
        <w:tc>
          <w:tcPr>
            <w:tcW w:w="1980" w:type="dxa"/>
            <w:vMerge/>
          </w:tcPr>
          <w:p w14:paraId="19B8D57F" w14:textId="77777777" w:rsidR="0032789D" w:rsidRDefault="0032789D" w:rsidP="005A389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2E32E25" w14:textId="77777777" w:rsidR="0032789D" w:rsidRDefault="0032789D" w:rsidP="005A389F">
            <w:r>
              <w:t>2.</w:t>
            </w:r>
          </w:p>
        </w:tc>
        <w:tc>
          <w:tcPr>
            <w:tcW w:w="6611" w:type="dxa"/>
          </w:tcPr>
          <w:p w14:paraId="406E2672" w14:textId="796890F1" w:rsidR="0032789D" w:rsidRDefault="008D1907" w:rsidP="005A389F">
            <w:r>
              <w:t>Qualitative research to develop a reliable and va</w:t>
            </w:r>
            <w:r w:rsidR="000B48C8">
              <w:t>lid approach for capturing Medication Administration Errors</w:t>
            </w:r>
          </w:p>
        </w:tc>
      </w:tr>
      <w:tr w:rsidR="0032789D" w14:paraId="55C907B8" w14:textId="77777777" w:rsidTr="333BE234">
        <w:tc>
          <w:tcPr>
            <w:tcW w:w="1980" w:type="dxa"/>
            <w:vMerge/>
          </w:tcPr>
          <w:p w14:paraId="281FC21E" w14:textId="77777777" w:rsidR="0032789D" w:rsidRDefault="0032789D" w:rsidP="005A389F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566B237" w14:textId="77777777" w:rsidR="0032789D" w:rsidRDefault="0032789D" w:rsidP="005A389F">
            <w:r>
              <w:t>3.</w:t>
            </w:r>
          </w:p>
        </w:tc>
        <w:tc>
          <w:tcPr>
            <w:tcW w:w="6611" w:type="dxa"/>
          </w:tcPr>
          <w:p w14:paraId="2FCFE676" w14:textId="77777777" w:rsidR="0032789D" w:rsidRDefault="008D1907" w:rsidP="005A389F">
            <w:r>
              <w:t>Creation of internationally recognised research tools and approaches which would underpin future School of Healthcare research, particularly within the nursing program team.</w:t>
            </w:r>
          </w:p>
        </w:tc>
      </w:tr>
      <w:tr w:rsidR="0032789D" w14:paraId="798347DA" w14:textId="77777777" w:rsidTr="333BE234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C3A094B" w14:textId="77777777" w:rsidR="0032789D" w:rsidRDefault="0032789D" w:rsidP="005A389F">
            <w:r>
              <w:rPr>
                <w:b/>
              </w:rPr>
              <w:t xml:space="preserve">Project Summary </w:t>
            </w:r>
          </w:p>
        </w:tc>
      </w:tr>
      <w:tr w:rsidR="0032789D" w14:paraId="3D02FB65" w14:textId="77777777" w:rsidTr="333BE234">
        <w:tc>
          <w:tcPr>
            <w:tcW w:w="9016" w:type="dxa"/>
            <w:gridSpan w:val="3"/>
          </w:tcPr>
          <w:p w14:paraId="3C686C95" w14:textId="1D44F41A" w:rsidR="003B28E4" w:rsidRDefault="0032789D" w:rsidP="333BE234">
            <w:pPr>
              <w:contextualSpacing/>
              <w:textAlignment w:val="baseline"/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</w:pP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>The World Health Organisation requires medicines related harm to be halved by 2022</w:t>
            </w:r>
            <w:r w:rsidR="0DBC19F1"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 xml:space="preserve"> </w:t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fldChar w:fldCharType="begin"/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instrText xml:space="preserve"> ADDIN EN.CITE &lt;EndNote&gt;&lt;Cite&gt;&lt;Author&gt;World Health Organisation&lt;/Author&gt;&lt;Year&gt;2017&lt;/Year&gt;&lt;RecNum&gt;214&lt;/RecNum&gt;&lt;DisplayText&gt;(1)&lt;/DisplayText&gt;&lt;record&gt;&lt;rec-number&gt;214&lt;/rec-number&gt;&lt;foreign-keys&gt;&lt;key app="EN" db-id="awtzwdwtr905dvewwdvxa225etzxda2d0f50" timestamp="1555490586"&gt;214&lt;/key&gt;&lt;/foreign-keys&gt;&lt;ref-type name="Web Page"&gt;12&lt;/ref-type&gt;&lt;contributors&gt;&lt;authors&gt;&lt;author&gt;World Health Organisation,&lt;/author&gt;&lt;/authors&gt;&lt;/contributors&gt;&lt;titles&gt;&lt;title&gt;The third WHO global patient safety challenge: Medication with harm&lt;/title&gt;&lt;/titles&gt;&lt;number&gt;17/03/2019&lt;/number&gt;&lt;dates&gt;&lt;year&gt;2017&lt;/year&gt;&lt;/dates&gt;&lt;urls&gt;&lt;related-urls&gt;&lt;url&gt;https://www.who.int/patientsafety/medication-safety/en/&lt;/url&gt;&lt;/related-urls&gt;&lt;/urls&gt;&lt;/record&gt;&lt;/Cite&gt;&lt;/EndNote&gt;</w:instrText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fldChar w:fldCharType="separate"/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>(1)</w:t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fldChar w:fldCharType="end"/>
            </w:r>
            <w:r w:rsidR="5B89DD82"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>.</w:t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 xml:space="preserve"> </w:t>
            </w:r>
            <w:r w:rsidRPr="333BE234">
              <w:rPr>
                <w:rFonts w:asciiTheme="minorHAnsi" w:eastAsia="Times New Roman" w:hAnsiTheme="minorHAnsi" w:cstheme="minorBidi"/>
                <w:color w:val="auto"/>
              </w:rPr>
              <w:t>It is estimated that in the UK, 66 million potentially clinically significant medication errors occur per year</w:t>
            </w:r>
            <w:r w:rsidRPr="333BE234">
              <w:rPr>
                <w:rFonts w:asciiTheme="minorHAnsi" w:eastAsia="Times New Roman" w:hAnsiTheme="minorHAnsi" w:cstheme="minorBidi"/>
                <w:color w:val="auto"/>
              </w:rPr>
              <w:fldChar w:fldCharType="begin"/>
            </w:r>
            <w:r w:rsidRPr="333BE234">
              <w:rPr>
                <w:rFonts w:asciiTheme="minorHAnsi" w:eastAsia="Times New Roman" w:hAnsiTheme="minorHAnsi" w:cstheme="minorBidi"/>
                <w:color w:val="auto"/>
              </w:rPr>
              <w:instrText xml:space="preserve"> ADDIN EN.CITE &lt;EndNote&gt;&lt;Cite&gt;&lt;Author&gt;Elliott R&lt;/Author&gt;&lt;Year&gt;2018&lt;/Year&gt;&lt;RecNum&gt;202&lt;/RecNum&gt;&lt;DisplayText&gt;(2)&lt;/DisplayText&gt;&lt;record&gt;&lt;rec-number&gt;202&lt;/rec-number&gt;&lt;foreign-keys&gt;&lt;key app="EN" db-id="awtzwdwtr905dvewwdvxa225etzxda2d0f50" timestamp="1555483802"&gt;202&lt;/key&gt;&lt;/foreign-keys&gt;&lt;ref-type name="Report"&gt;27&lt;/ref-type&gt;&lt;contributors&gt;&lt;authors&gt;&lt;author&gt;Elliott R,&lt;/author&gt;&lt;author&gt;Camacho E,&lt;/author&gt;&lt;author&gt;Campbell F,&lt;/author&gt;&lt;author&gt;Jankovic D,&lt;/author&gt;&lt;author&gt;Martyn St James M,&lt;/author&gt;&lt;author&gt;Kaltenthaler E,&lt;/author&gt;&lt;author&gt;Wong R,&lt;/author&gt;&lt;author&gt;Sculpher M,&lt;/author&gt;&lt;author&gt;Faria R.&lt;/author&gt;&lt;/authors&gt;&lt;tertiary-authors&gt;&lt;author&gt;Policy Research Unit in Economic Evaluation of Health and Care Interventions. Universities of Sheffield and York.&lt;/author&gt;&lt;/tertiary-authors&gt;&lt;/contributors&gt;&lt;titles&gt;&lt;title&gt;Prevalence and economic burden of medication errors in the NHS in England: Rapid evidence synthesis and economic analysis of the prevalence and burden of medication error in the UK &lt;/title&gt;&lt;/titles&gt;&lt;dates&gt;&lt;year&gt;2018&lt;/year&gt;&lt;/dates&gt;&lt;urls&gt;&lt;related-urls&gt;&lt;url&gt;http://www.eepru.org.uk/prevalence-and-economic-burden-of-medication-errors-in-the-nhs-in-england-2/&lt;/url&gt;&lt;/related-urls&gt;&lt;/urls&gt;&lt;access-date&gt;09/04/2019&lt;/access-date&gt;&lt;/record&gt;&lt;/Cite&gt;&lt;/EndNote&gt;</w:instrText>
            </w:r>
            <w:r w:rsidRPr="333BE234">
              <w:rPr>
                <w:rFonts w:asciiTheme="minorHAnsi" w:eastAsia="Times New Roman" w:hAnsiTheme="minorHAnsi" w:cstheme="minorBidi"/>
                <w:color w:val="auto"/>
              </w:rPr>
              <w:fldChar w:fldCharType="separate"/>
            </w:r>
            <w:r w:rsidRPr="333BE234">
              <w:rPr>
                <w:rFonts w:asciiTheme="minorHAnsi" w:eastAsia="Times New Roman" w:hAnsiTheme="minorHAnsi" w:cstheme="minorBidi"/>
                <w:noProof/>
                <w:color w:val="auto"/>
              </w:rPr>
              <w:t>(2)</w:t>
            </w:r>
            <w:r w:rsidRPr="333BE234">
              <w:rPr>
                <w:rFonts w:asciiTheme="minorHAnsi" w:eastAsia="Times New Roman" w:hAnsiTheme="minorHAnsi" w:cstheme="minorBidi"/>
                <w:color w:val="auto"/>
              </w:rPr>
              <w:fldChar w:fldCharType="end"/>
            </w:r>
            <w:r w:rsidR="000B48C8" w:rsidRPr="333BE234">
              <w:rPr>
                <w:rFonts w:asciiTheme="minorHAnsi" w:eastAsia="Times New Roman" w:hAnsiTheme="minorHAnsi" w:cstheme="minorBidi"/>
                <w:color w:val="auto"/>
              </w:rPr>
              <w:t xml:space="preserve"> with</w:t>
            </w:r>
            <w:r w:rsidRPr="333BE234">
              <w:rPr>
                <w:rFonts w:asciiTheme="minorHAnsi" w:eastAsia="Times New Roman" w:hAnsiTheme="minorHAnsi" w:cstheme="minorBidi"/>
                <w:color w:val="auto"/>
              </w:rPr>
              <w:t xml:space="preserve"> </w:t>
            </w:r>
            <w:r w:rsidR="000B48C8" w:rsidRPr="333BE234">
              <w:rPr>
                <w:rFonts w:asciiTheme="minorHAnsi" w:eastAsia="Times New Roman" w:hAnsiTheme="minorHAnsi" w:cstheme="minorBidi"/>
                <w:color w:val="auto"/>
              </w:rPr>
              <w:t>m</w:t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>edication administration er</w:t>
            </w:r>
            <w:r w:rsidR="008D1907"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>rors (MAEs) believed to be</w:t>
            </w:r>
            <w:r w:rsidRPr="333BE234">
              <w:rPr>
                <w:rFonts w:asciiTheme="minorHAnsi" w:eastAsiaTheme="minorEastAsia" w:hAnsiTheme="minorHAnsi" w:cstheme="minorBidi"/>
                <w:shd w:val="clear" w:color="auto" w:fill="FFFFFF"/>
                <w:lang w:eastAsia="en-US"/>
              </w:rPr>
              <w:t xml:space="preserve"> the most</w:t>
            </w:r>
            <w:r w:rsidR="000B48C8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 prevalent. O</w:t>
            </w:r>
            <w:r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ne </w:t>
            </w:r>
            <w:r w:rsidR="000B48C8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large-scale </w:t>
            </w:r>
            <w:r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study across a number of trusts in the UK identif</w:t>
            </w:r>
            <w:r w:rsidR="00841FD1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i</w:t>
            </w:r>
            <w:r w:rsidR="000B48C8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ed</w:t>
            </w:r>
            <w:r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 that </w:t>
            </w:r>
            <w:r w:rsidR="000B48C8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14</w:t>
            </w:r>
            <w:r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% of patients </w:t>
            </w:r>
            <w:r w:rsidR="003B28E4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experience</w:t>
            </w:r>
            <w:r w:rsidR="000B48C8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 an MAE every drug round</w:t>
            </w:r>
            <w:r w:rsidR="63FFF9A2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 xml:space="preserve"> </w:t>
            </w:r>
            <w:r w:rsidR="008D1907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(3</w:t>
            </w:r>
            <w:r w:rsidR="00E67C3D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)</w:t>
            </w:r>
            <w:r w:rsidR="3ECDC521" w:rsidRPr="333BE234">
              <w:rPr>
                <w:rFonts w:asciiTheme="minorHAnsi" w:eastAsiaTheme="minorEastAsia" w:hAnsiTheme="minorHAnsi" w:cstheme="minorBidi"/>
                <w:color w:val="auto"/>
                <w:shd w:val="clear" w:color="auto" w:fill="FFFFFF"/>
                <w:lang w:eastAsia="en-US"/>
              </w:rPr>
              <w:t>.</w:t>
            </w:r>
          </w:p>
          <w:p w14:paraId="0D1A69AC" w14:textId="77777777" w:rsidR="003B28E4" w:rsidRDefault="003B28E4" w:rsidP="0032789D">
            <w:pPr>
              <w:contextualSpacing/>
              <w:textAlignment w:val="baseline"/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</w:pPr>
          </w:p>
          <w:p w14:paraId="4954A148" w14:textId="3C72805A" w:rsidR="008D1907" w:rsidRDefault="000B48C8" w:rsidP="0032789D">
            <w:pPr>
              <w:contextualSpacing/>
              <w:textAlignment w:val="baseline"/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Published research indicates extensive variation in the </w:t>
            </w:r>
            <w:r w:rsidR="003B28E4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nature of MAEs</w:t>
            </w:r>
            <w:r w:rsidR="00841FD1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and</w:t>
            </w:r>
            <w:r w:rsidR="003B28E4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the pr</w:t>
            </w:r>
            <w:r w:rsidR="002A6423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ocess for capturing them. There is no standard</w:t>
            </w:r>
            <w:r w:rsidR="00A15582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ised international</w:t>
            </w:r>
            <w:r w:rsidR="002A6423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language </w:t>
            </w:r>
            <w:r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specifically </w:t>
            </w:r>
            <w:r w:rsidR="002A6423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for describing MAEs or agreement as to what does and doesn’t constitute an MAE. The effect of using a pharmacist, nurse or non-healthcare professional</w:t>
            </w:r>
            <w:r w:rsidR="00E67C3D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or an internal or independent observer</w:t>
            </w:r>
            <w:r w:rsidR="002A6423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on the validity and reliability of measuring</w:t>
            </w:r>
            <w:r w:rsidR="00A15582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MAEs</w:t>
            </w:r>
            <w:r w:rsidR="003B28E4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</w:t>
            </w:r>
            <w:r w:rsidR="002A6423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is </w:t>
            </w:r>
            <w:r w:rsidR="008D190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equally </w:t>
            </w:r>
            <w:r w:rsidR="002A6423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unknown. </w:t>
            </w:r>
          </w:p>
          <w:p w14:paraId="4EBC3108" w14:textId="77777777" w:rsidR="008D1907" w:rsidRDefault="008D1907" w:rsidP="0032789D">
            <w:pPr>
              <w:contextualSpacing/>
              <w:textAlignment w:val="baseline"/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</w:pPr>
          </w:p>
          <w:p w14:paraId="24B1CCA3" w14:textId="77777777" w:rsidR="0032789D" w:rsidRPr="0032789D" w:rsidRDefault="002A6423" w:rsidP="0032789D">
            <w:pPr>
              <w:contextualSpacing/>
              <w:textAlignment w:val="baseline"/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The aim of this PhD</w:t>
            </w:r>
            <w:r w:rsidR="008D190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,</w:t>
            </w:r>
            <w:r w:rsidR="00E67C3D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therefore</w:t>
            </w:r>
            <w:r w:rsidR="008D1907"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color w:val="auto"/>
                <w:shd w:val="clear" w:color="auto" w:fill="FFFFFF"/>
                <w:lang w:eastAsia="en-US"/>
              </w:rPr>
              <w:t xml:space="preserve"> would be to develop an international taxonomy for the description and classification of MAEs and to develop an effective model for their capture.</w:t>
            </w:r>
          </w:p>
          <w:p w14:paraId="54043CB1" w14:textId="77777777" w:rsidR="0032789D" w:rsidRDefault="0032789D" w:rsidP="005A389F"/>
          <w:p w14:paraId="419923F9" w14:textId="77777777" w:rsidR="00E67C3D" w:rsidRDefault="00E67C3D" w:rsidP="005A389F">
            <w:r>
              <w:t>The project will consist of the following four phases:</w:t>
            </w:r>
          </w:p>
          <w:p w14:paraId="2B05E0D9" w14:textId="77777777" w:rsidR="00E67C3D" w:rsidRDefault="00E67C3D" w:rsidP="00E67C3D">
            <w:pPr>
              <w:pStyle w:val="ListParagraph"/>
              <w:numPr>
                <w:ilvl w:val="0"/>
                <w:numId w:val="1"/>
              </w:numPr>
            </w:pPr>
            <w:r>
              <w:t>Systematic review and narrative synthesis of the literature regarding MAE research within secondary care for the purposes of identifying the range of MAEs reported and processes used fo</w:t>
            </w:r>
            <w:r w:rsidR="00826705">
              <w:t>r capture.</w:t>
            </w:r>
          </w:p>
          <w:p w14:paraId="72D51233" w14:textId="3E5ED81D" w:rsidR="00E67C3D" w:rsidRDefault="00E67C3D" w:rsidP="00E67C3D">
            <w:pPr>
              <w:pStyle w:val="ListParagraph"/>
              <w:numPr>
                <w:ilvl w:val="0"/>
                <w:numId w:val="1"/>
              </w:numPr>
            </w:pPr>
            <w:r>
              <w:t>Qualitative work with nurses actively involved in medication admin</w:t>
            </w:r>
            <w:r w:rsidR="000B48C8">
              <w:t>istration in secondary care to develop</w:t>
            </w:r>
            <w:r>
              <w:t xml:space="preserve"> the taxonomy and to agree approaches to their capture considering nature of the observer.</w:t>
            </w:r>
          </w:p>
          <w:p w14:paraId="37FD3D80" w14:textId="77777777" w:rsidR="000B48C8" w:rsidRDefault="000B48C8" w:rsidP="000B48C8">
            <w:pPr>
              <w:pStyle w:val="ListParagraph"/>
              <w:numPr>
                <w:ilvl w:val="0"/>
                <w:numId w:val="1"/>
              </w:numPr>
            </w:pPr>
            <w:r>
              <w:t>Consensus methodology involving international authors identified from the MAE literature to develop an MAE taxonomy.</w:t>
            </w:r>
          </w:p>
          <w:p w14:paraId="732820DD" w14:textId="69876C3E" w:rsidR="00A15582" w:rsidRPr="0032789D" w:rsidRDefault="00A15582" w:rsidP="00E67C3D">
            <w:pPr>
              <w:pStyle w:val="ListParagraph"/>
              <w:numPr>
                <w:ilvl w:val="0"/>
                <w:numId w:val="1"/>
              </w:numPr>
            </w:pPr>
            <w:r>
              <w:t xml:space="preserve">Small scale testing of </w:t>
            </w:r>
            <w:r w:rsidR="008D1907">
              <w:t>agreed approaches to</w:t>
            </w:r>
            <w:r w:rsidR="00841FD1">
              <w:t xml:space="preserve"> MAE observation</w:t>
            </w:r>
            <w:r w:rsidR="008D1907">
              <w:t>.</w:t>
            </w:r>
          </w:p>
          <w:p w14:paraId="6581C5AE" w14:textId="77777777" w:rsidR="0032789D" w:rsidRDefault="00E67C3D" w:rsidP="005A389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A601AAA" w14:textId="7A2459BF" w:rsidR="0032789D" w:rsidRDefault="008D1907" w:rsidP="00826705">
            <w:r>
              <w:lastRenderedPageBreak/>
              <w:t>Outputs will include four publications, an international taxonomy for MAEs and a proposed approach for reliable and valid</w:t>
            </w:r>
            <w:r w:rsidR="00841FD1">
              <w:t xml:space="preserve"> MAE</w:t>
            </w:r>
            <w:r>
              <w:t xml:space="preserve"> capture.</w:t>
            </w:r>
          </w:p>
          <w:p w14:paraId="53763961" w14:textId="77777777" w:rsidR="000B48C8" w:rsidRDefault="000B48C8" w:rsidP="00826705"/>
          <w:p w14:paraId="3BA8C6DA" w14:textId="3926046B" w:rsidR="000B48C8" w:rsidRPr="00F71EDA" w:rsidRDefault="000B48C8" w:rsidP="000B48C8">
            <w:pPr>
              <w:pStyle w:val="EndNoteBibliography"/>
            </w:pPr>
            <w:r w:rsidRPr="00F71EDA">
              <w:t>1.</w:t>
            </w:r>
            <w:r w:rsidRPr="00F71EDA">
              <w:tab/>
              <w:t>World Health Organisation. The third WHO global patient safety chall</w:t>
            </w:r>
            <w:r>
              <w:t>enge: Medication with harm 2017</w:t>
            </w:r>
          </w:p>
          <w:p w14:paraId="54E16CD0" w14:textId="141815D2" w:rsidR="000B48C8" w:rsidRPr="00F71EDA" w:rsidRDefault="000B48C8" w:rsidP="000B48C8">
            <w:pPr>
              <w:pStyle w:val="EndNoteBibliography"/>
            </w:pPr>
            <w:r w:rsidRPr="00F71EDA">
              <w:t>2.</w:t>
            </w:r>
            <w:r w:rsidRPr="00F71EDA">
              <w:tab/>
              <w:t>Elliott R, Camacho E</w:t>
            </w:r>
            <w:r>
              <w:t>.</w:t>
            </w:r>
            <w:r w:rsidRPr="00F71EDA">
              <w:t xml:space="preserve"> et al. Prevalence and economic burden of medication errors in the NHS in England: Rapid evidence synthesis and economic analysis of the prevalence and burden of medication error in the UK 2018.</w:t>
            </w:r>
          </w:p>
          <w:p w14:paraId="67185CAC" w14:textId="41F5CD64" w:rsidR="000B48C8" w:rsidRPr="0032789D" w:rsidRDefault="000B48C8" w:rsidP="000B48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3.</w:t>
            </w:r>
            <w:r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ab/>
            </w:r>
            <w:r w:rsidRPr="0032789D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 xml:space="preserve">Kelly J, Wright D, Wood J. Medicine administration errors in patients with dysphagia in secondary care: a multi-centre observational study. J Adv Nurs. 2011 Dec;67(12):2615-27. </w:t>
            </w:r>
          </w:p>
          <w:p w14:paraId="3E8986BE" w14:textId="5C25A86A" w:rsidR="000B48C8" w:rsidRDefault="000B48C8" w:rsidP="00826705">
            <w:pPr>
              <w:rPr>
                <w:b/>
              </w:rPr>
            </w:pPr>
          </w:p>
        </w:tc>
      </w:tr>
    </w:tbl>
    <w:p w14:paraId="36731966" w14:textId="77777777" w:rsidR="0032789D" w:rsidRDefault="0032789D" w:rsidP="0032789D">
      <w:pPr>
        <w:spacing w:after="0" w:line="240" w:lineRule="auto"/>
      </w:pPr>
    </w:p>
    <w:sectPr w:rsidR="0032789D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7F7C"/>
    <w:multiLevelType w:val="hybridMultilevel"/>
    <w:tmpl w:val="E1F882A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9D"/>
    <w:rsid w:val="000B48C8"/>
    <w:rsid w:val="000E4BC3"/>
    <w:rsid w:val="00213173"/>
    <w:rsid w:val="002A6423"/>
    <w:rsid w:val="00311A86"/>
    <w:rsid w:val="0032789D"/>
    <w:rsid w:val="003B28E4"/>
    <w:rsid w:val="004B78BF"/>
    <w:rsid w:val="005D6C47"/>
    <w:rsid w:val="006C36E1"/>
    <w:rsid w:val="00826705"/>
    <w:rsid w:val="00841FD1"/>
    <w:rsid w:val="008D1907"/>
    <w:rsid w:val="008D5A2D"/>
    <w:rsid w:val="00A15582"/>
    <w:rsid w:val="00A91311"/>
    <w:rsid w:val="00B4202C"/>
    <w:rsid w:val="00D305D7"/>
    <w:rsid w:val="00E15075"/>
    <w:rsid w:val="00E67C3D"/>
    <w:rsid w:val="00F473CC"/>
    <w:rsid w:val="0DBC19F1"/>
    <w:rsid w:val="333BE234"/>
    <w:rsid w:val="3ECDC521"/>
    <w:rsid w:val="42A9F890"/>
    <w:rsid w:val="5B89DD82"/>
    <w:rsid w:val="63FFF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57F0"/>
  <w15:chartTrackingRefBased/>
  <w15:docId w15:val="{B98F2E11-1633-4A2D-AECE-2965D0FC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2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32789D"/>
    <w:pPr>
      <w:spacing w:line="240" w:lineRule="auto"/>
    </w:pPr>
    <w:rPr>
      <w:rFonts w:eastAsiaTheme="minorHAnsi"/>
      <w:noProof/>
      <w:color w:val="auto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2789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27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3CC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3CC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8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ECE56-0E8F-4F6D-ACA1-817B38CAA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4A7B9-E0CF-4B2B-8F49-ACA885D1E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00A6-2361-45E7-9C98-BF5AD307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4528</Characters>
  <Application>Microsoft Office Word</Application>
  <DocSecurity>0</DocSecurity>
  <Lines>37</Lines>
  <Paragraphs>10</Paragraphs>
  <ScaleCrop>false</ScaleCrop>
  <Company>University of Leicester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David J. (Prof.)</dc:creator>
  <cp:keywords/>
  <dc:description/>
  <cp:lastModifiedBy>White, Karen L.</cp:lastModifiedBy>
  <cp:revision>6</cp:revision>
  <dcterms:created xsi:type="dcterms:W3CDTF">2022-11-20T13:42:00Z</dcterms:created>
  <dcterms:modified xsi:type="dcterms:W3CDTF">2022-11-21T15:54:00Z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