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FDA2" w14:textId="77777777" w:rsidR="00A63CF3" w:rsidRDefault="00A63CF3" w:rsidP="00A63CF3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5DD7F8E8" w14:textId="77777777" w:rsidR="00A63CF3" w:rsidRDefault="00A63CF3" w:rsidP="00A63CF3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50  PhD Scholarship </w:t>
      </w:r>
    </w:p>
    <w:p w14:paraId="168EF12C" w14:textId="77777777" w:rsidR="00586E28" w:rsidRDefault="00586E28" w:rsidP="00586E28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586E28" w:rsidRPr="00066C81" w14:paraId="3005D891" w14:textId="77777777" w:rsidTr="008A1243">
        <w:tc>
          <w:tcPr>
            <w:tcW w:w="3227" w:type="dxa"/>
            <w:shd w:val="clear" w:color="auto" w:fill="F2F2F2" w:themeFill="background1" w:themeFillShade="F2"/>
          </w:tcPr>
          <w:p w14:paraId="04C6D0E5" w14:textId="77777777" w:rsidR="00586E28" w:rsidRPr="00066C81" w:rsidRDefault="00586E28" w:rsidP="008A1243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A48A59A" w14:textId="5E1F63D4" w:rsidR="00586E28" w:rsidRPr="00066C81" w:rsidRDefault="00BA3438" w:rsidP="008A1243">
            <w:r>
              <w:t>H</w:t>
            </w:r>
            <w:r w:rsidR="000F146D">
              <w:t>C</w:t>
            </w:r>
            <w:r w:rsidR="009B0ACE">
              <w:t xml:space="preserve"> </w:t>
            </w:r>
            <w:r>
              <w:t>Birt</w:t>
            </w:r>
          </w:p>
        </w:tc>
      </w:tr>
    </w:tbl>
    <w:p w14:paraId="6B52016C" w14:textId="77777777" w:rsidR="00586E28" w:rsidRDefault="00586E28" w:rsidP="00586E28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586E28" w:rsidRPr="00066C81" w14:paraId="2141FBEA" w14:textId="77777777" w:rsidTr="008A1243">
        <w:tc>
          <w:tcPr>
            <w:tcW w:w="3227" w:type="dxa"/>
            <w:shd w:val="clear" w:color="auto" w:fill="F2F2F2" w:themeFill="background1" w:themeFillShade="F2"/>
          </w:tcPr>
          <w:p w14:paraId="440D88C4" w14:textId="77777777" w:rsidR="00586E28" w:rsidRPr="00066C81" w:rsidRDefault="00586E28" w:rsidP="008A1243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56449CD8" w14:textId="77777777" w:rsidR="00586E28" w:rsidRPr="00066C81" w:rsidRDefault="00586E28" w:rsidP="008A1243">
            <w:r>
              <w:t>Dr Linda Birt</w:t>
            </w:r>
          </w:p>
        </w:tc>
      </w:tr>
      <w:tr w:rsidR="00586E28" w:rsidRPr="00066C81" w14:paraId="66D81903" w14:textId="77777777" w:rsidTr="008A1243">
        <w:tc>
          <w:tcPr>
            <w:tcW w:w="3227" w:type="dxa"/>
            <w:shd w:val="clear" w:color="auto" w:fill="F2F2F2" w:themeFill="background1" w:themeFillShade="F2"/>
          </w:tcPr>
          <w:p w14:paraId="7B69F3A1" w14:textId="77777777" w:rsidR="00586E28" w:rsidRPr="00066C81" w:rsidRDefault="00586E28" w:rsidP="008A1243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2AB46D76" w14:textId="77777777" w:rsidR="00586E28" w:rsidRPr="00066C81" w:rsidRDefault="00586E28" w:rsidP="008A1243">
            <w:r>
              <w:t>School of Healthcare/ College of Life Sciences</w:t>
            </w:r>
          </w:p>
        </w:tc>
      </w:tr>
      <w:tr w:rsidR="00586E28" w:rsidRPr="00066C81" w14:paraId="5BE3C47F" w14:textId="77777777" w:rsidTr="008A1243">
        <w:tc>
          <w:tcPr>
            <w:tcW w:w="3227" w:type="dxa"/>
            <w:shd w:val="clear" w:color="auto" w:fill="F2F2F2" w:themeFill="background1" w:themeFillShade="F2"/>
          </w:tcPr>
          <w:p w14:paraId="0B447D6E" w14:textId="77777777" w:rsidR="00586E28" w:rsidRPr="00066C81" w:rsidRDefault="00586E28" w:rsidP="008A1243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5D8CA9AB" w14:textId="7E242DC6" w:rsidR="00586E28" w:rsidRPr="00066C81" w:rsidRDefault="000F146D" w:rsidP="008A1243">
            <w:hyperlink r:id="rId7" w:history="1">
              <w:r w:rsidR="00A63CF3" w:rsidRPr="00BC748E">
                <w:rPr>
                  <w:rStyle w:val="Hyperlink"/>
                </w:rPr>
                <w:t>Linda.birt@leicester.ac.uk</w:t>
              </w:r>
            </w:hyperlink>
            <w:r w:rsidR="00A63CF3"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855F49C" w14:textId="77777777" w:rsidR="00586E28" w:rsidRPr="00066C81" w:rsidRDefault="00586E28" w:rsidP="008A1243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4960FAB" w14:textId="77777777" w:rsidR="00586E28" w:rsidRPr="00066C81" w:rsidRDefault="00586E28" w:rsidP="008A1243"/>
        </w:tc>
      </w:tr>
    </w:tbl>
    <w:p w14:paraId="4BF630E0" w14:textId="77777777" w:rsidR="00586E28" w:rsidRDefault="00586E28" w:rsidP="00586E28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586E28" w14:paraId="08397248" w14:textId="77777777" w:rsidTr="008A1243">
        <w:tc>
          <w:tcPr>
            <w:tcW w:w="3256" w:type="dxa"/>
            <w:shd w:val="clear" w:color="auto" w:fill="F2F2F2" w:themeFill="background1" w:themeFillShade="F2"/>
          </w:tcPr>
          <w:p w14:paraId="3EBDDB11" w14:textId="77777777" w:rsidR="00586E28" w:rsidRPr="00B11D52" w:rsidRDefault="00586E28" w:rsidP="008A1243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489DEEA" w14:textId="77777777" w:rsidR="00586E28" w:rsidRDefault="00586E28" w:rsidP="008A1243">
            <w:r>
              <w:t>Prof David Wright</w:t>
            </w:r>
          </w:p>
        </w:tc>
      </w:tr>
      <w:tr w:rsidR="00586E28" w14:paraId="45B1C51C" w14:textId="77777777" w:rsidTr="008A1243">
        <w:tc>
          <w:tcPr>
            <w:tcW w:w="3256" w:type="dxa"/>
            <w:shd w:val="clear" w:color="auto" w:fill="F2F2F2" w:themeFill="background1" w:themeFillShade="F2"/>
          </w:tcPr>
          <w:p w14:paraId="1EE1DB45" w14:textId="77777777" w:rsidR="00586E28" w:rsidRDefault="00586E28" w:rsidP="008A1243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9A5B8DC" w14:textId="77777777" w:rsidR="00586E28" w:rsidRDefault="00586E28" w:rsidP="008A1243">
            <w:r>
              <w:t>School of Healthcare/ College of Life Sciences</w:t>
            </w:r>
          </w:p>
        </w:tc>
      </w:tr>
      <w:tr w:rsidR="00586E28" w14:paraId="7AD8B761" w14:textId="77777777" w:rsidTr="008A1243">
        <w:tc>
          <w:tcPr>
            <w:tcW w:w="3256" w:type="dxa"/>
            <w:shd w:val="clear" w:color="auto" w:fill="F2F2F2" w:themeFill="background1" w:themeFillShade="F2"/>
          </w:tcPr>
          <w:p w14:paraId="4FE3A04F" w14:textId="77777777" w:rsidR="00586E28" w:rsidRDefault="00586E28" w:rsidP="008A1243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6A89C812" w14:textId="77777777" w:rsidR="00586E28" w:rsidRDefault="00586E28" w:rsidP="008A1243">
            <w:r>
              <w:t>d.j.wright@leciester.ac.uk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CD3E6B" w14:textId="77777777" w:rsidR="00586E28" w:rsidRPr="008D3AC2" w:rsidRDefault="00586E28" w:rsidP="008A1243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56E06D94" w14:textId="77777777" w:rsidR="00586E28" w:rsidRDefault="00586E28" w:rsidP="008A1243"/>
        </w:tc>
      </w:tr>
    </w:tbl>
    <w:p w14:paraId="670004AA" w14:textId="77777777" w:rsidR="00586E28" w:rsidRDefault="00586E28" w:rsidP="00586E28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586E28" w14:paraId="383A5E33" w14:textId="77777777" w:rsidTr="008A1243">
        <w:tc>
          <w:tcPr>
            <w:tcW w:w="3256" w:type="dxa"/>
            <w:shd w:val="clear" w:color="auto" w:fill="F2F2F2" w:themeFill="background1" w:themeFillShade="F2"/>
          </w:tcPr>
          <w:p w14:paraId="06BFD47D" w14:textId="77777777" w:rsidR="00586E28" w:rsidRPr="00B11D52" w:rsidRDefault="00586E28" w:rsidP="008A1243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08477403" w14:textId="53A01B77" w:rsidR="00586E28" w:rsidRDefault="00586E28" w:rsidP="008A1243">
            <w:r>
              <w:t xml:space="preserve">Prof Christina Faull </w:t>
            </w:r>
            <w: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Consultant in Palliative Medicine &amp; Research Lead </w:t>
            </w:r>
          </w:p>
        </w:tc>
      </w:tr>
    </w:tbl>
    <w:p w14:paraId="323C8C77" w14:textId="77777777" w:rsidR="00586E28" w:rsidRDefault="00586E28" w:rsidP="00586E28">
      <w:pPr>
        <w:spacing w:after="0" w:line="240" w:lineRule="auto"/>
        <w:rPr>
          <w:b/>
          <w:u w:val="single"/>
        </w:rPr>
      </w:pPr>
    </w:p>
    <w:p w14:paraId="57E58513" w14:textId="77777777" w:rsidR="00586E28" w:rsidRPr="006B05B2" w:rsidRDefault="00586E28" w:rsidP="00586E28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586E28" w14:paraId="46ABC8E0" w14:textId="77777777" w:rsidTr="008A1243">
        <w:tc>
          <w:tcPr>
            <w:tcW w:w="1980" w:type="dxa"/>
            <w:shd w:val="clear" w:color="auto" w:fill="F2F2F2" w:themeFill="background1" w:themeFillShade="F2"/>
          </w:tcPr>
          <w:p w14:paraId="1B2F0D8F" w14:textId="77777777" w:rsidR="00586E28" w:rsidRDefault="00586E28" w:rsidP="008A1243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7727F0C0" w14:textId="77777777" w:rsidR="00586E28" w:rsidRPr="00B11D52" w:rsidRDefault="00586E28" w:rsidP="008A1243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24BF2BB" w14:textId="77777777" w:rsidR="00586E28" w:rsidRDefault="00586E28" w:rsidP="008A1243">
            <w:r>
              <w:t>Anticipatory medicines at end-of-life in UK care homes: developing best practice</w:t>
            </w:r>
          </w:p>
        </w:tc>
      </w:tr>
      <w:tr w:rsidR="00586E28" w14:paraId="4CF89AEB" w14:textId="77777777" w:rsidTr="008A1243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47460427" w14:textId="77777777" w:rsidR="00586E28" w:rsidRDefault="00586E28" w:rsidP="008A1243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41A30A5" w14:textId="77777777" w:rsidR="00586E28" w:rsidRDefault="00586E28" w:rsidP="008A1243">
            <w:r>
              <w:t>1.</w:t>
            </w:r>
          </w:p>
        </w:tc>
        <w:tc>
          <w:tcPr>
            <w:tcW w:w="6611" w:type="dxa"/>
          </w:tcPr>
          <w:p w14:paraId="5BC91A08" w14:textId="5A2E6CBF" w:rsidR="00586E28" w:rsidRDefault="00586E28" w:rsidP="00BF370D">
            <w:r>
              <w:t xml:space="preserve">The individualised prescribing of anticipatory medicines to manage a person’s symptoms at end-of-life is embedded in NICE guidance for dying patients, but there is little evidence of how best practice is in </w:t>
            </w:r>
            <w:r w:rsidR="00BF370D">
              <w:t xml:space="preserve">implemented </w:t>
            </w:r>
            <w:r>
              <w:t>in non-NHS settings.</w:t>
            </w:r>
          </w:p>
        </w:tc>
      </w:tr>
      <w:tr w:rsidR="00586E28" w14:paraId="4DD1D452" w14:textId="77777777" w:rsidTr="008A1243">
        <w:tc>
          <w:tcPr>
            <w:tcW w:w="1980" w:type="dxa"/>
            <w:vMerge/>
            <w:shd w:val="clear" w:color="auto" w:fill="F2F2F2" w:themeFill="background1" w:themeFillShade="F2"/>
          </w:tcPr>
          <w:p w14:paraId="785C066E" w14:textId="77777777" w:rsidR="00586E28" w:rsidRDefault="00586E28" w:rsidP="008A124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D6F9AB9" w14:textId="77777777" w:rsidR="00586E28" w:rsidRDefault="00586E28" w:rsidP="008A1243">
            <w:r>
              <w:t>2.</w:t>
            </w:r>
          </w:p>
        </w:tc>
        <w:tc>
          <w:tcPr>
            <w:tcW w:w="6611" w:type="dxa"/>
          </w:tcPr>
          <w:p w14:paraId="3D8FB9A5" w14:textId="505DD913" w:rsidR="00586E28" w:rsidRDefault="00586E28" w:rsidP="008A1243">
            <w:r>
              <w:t xml:space="preserve">The decision to administer anticipatory medicines relies on a clinical judgement of need. In care homes </w:t>
            </w:r>
            <w:r w:rsidR="00A5159B">
              <w:t>such</w:t>
            </w:r>
            <w:r>
              <w:t xml:space="preserve"> need is often assessed by care staff </w:t>
            </w:r>
            <w:r w:rsidR="00725BC8">
              <w:t>with little or no clinical training.</w:t>
            </w:r>
          </w:p>
        </w:tc>
      </w:tr>
      <w:tr w:rsidR="00586E28" w14:paraId="4A2340CE" w14:textId="77777777" w:rsidTr="008A1243">
        <w:tc>
          <w:tcPr>
            <w:tcW w:w="1980" w:type="dxa"/>
            <w:vMerge/>
            <w:shd w:val="clear" w:color="auto" w:fill="F2F2F2" w:themeFill="background1" w:themeFillShade="F2"/>
          </w:tcPr>
          <w:p w14:paraId="05CB1E6A" w14:textId="77777777" w:rsidR="00586E28" w:rsidRDefault="00586E28" w:rsidP="008A1243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C5A8D11" w14:textId="77777777" w:rsidR="00586E28" w:rsidRDefault="00586E28" w:rsidP="008A1243">
            <w:r>
              <w:t>3.</w:t>
            </w:r>
          </w:p>
        </w:tc>
        <w:tc>
          <w:tcPr>
            <w:tcW w:w="6611" w:type="dxa"/>
          </w:tcPr>
          <w:p w14:paraId="18E2A6BC" w14:textId="73F5F090" w:rsidR="00586E28" w:rsidRDefault="00586E28" w:rsidP="00BF370D">
            <w:r>
              <w:t xml:space="preserve">The use of anticipatory medicines symbolises the approach of a person’s death; the activity is bounded by social and cultural norms. There is evidence that </w:t>
            </w:r>
            <w:r w:rsidR="00BF370D">
              <w:t>care home staff</w:t>
            </w:r>
            <w:r>
              <w:t xml:space="preserve"> may experience emotional burden.</w:t>
            </w:r>
          </w:p>
        </w:tc>
      </w:tr>
      <w:tr w:rsidR="00586E28" w14:paraId="72D5BB8F" w14:textId="77777777" w:rsidTr="008A1243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579F5C1" w14:textId="77777777" w:rsidR="00586E28" w:rsidRDefault="00586E28" w:rsidP="008A1243">
            <w:r>
              <w:rPr>
                <w:b/>
              </w:rPr>
              <w:t xml:space="preserve">Project Summary </w:t>
            </w:r>
          </w:p>
        </w:tc>
      </w:tr>
      <w:tr w:rsidR="00586E28" w14:paraId="4B86C158" w14:textId="77777777" w:rsidTr="008A1243">
        <w:tc>
          <w:tcPr>
            <w:tcW w:w="9016" w:type="dxa"/>
            <w:gridSpan w:val="3"/>
          </w:tcPr>
          <w:p w14:paraId="0C8963F9" w14:textId="4176B882" w:rsidR="00586E28" w:rsidRPr="00D276F3" w:rsidRDefault="00586E28" w:rsidP="008A1243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  <w:bookmarkStart w:id="0" w:name="_Hlk117685067"/>
            <w:r w:rsidRPr="00D276F3">
              <w:rPr>
                <w:rFonts w:asciiTheme="minorHAnsi" w:hAnsiTheme="minorHAnsi" w:cstheme="minorHAnsi"/>
                <w:bCs/>
              </w:rPr>
              <w:t xml:space="preserve">Anticipatory, or ‘just in case’ </w:t>
            </w:r>
            <w:r w:rsidR="002263AF">
              <w:rPr>
                <w:rFonts w:asciiTheme="minorHAnsi" w:hAnsiTheme="minorHAnsi" w:cstheme="minorHAnsi"/>
                <w:bCs/>
              </w:rPr>
              <w:t xml:space="preserve">injectable </w:t>
            </w:r>
            <w:r w:rsidRPr="00D276F3">
              <w:rPr>
                <w:rFonts w:asciiTheme="minorHAnsi" w:hAnsiTheme="minorHAnsi" w:cstheme="minorHAnsi"/>
                <w:bCs/>
              </w:rPr>
              <w:t xml:space="preserve">medicines are prescribed for </w:t>
            </w:r>
            <w:r>
              <w:rPr>
                <w:rFonts w:asciiTheme="minorHAnsi" w:hAnsiTheme="minorHAnsi" w:cstheme="minorHAnsi"/>
                <w:bCs/>
              </w:rPr>
              <w:t xml:space="preserve">a person </w:t>
            </w:r>
            <w:r w:rsidRPr="00D276F3">
              <w:rPr>
                <w:rFonts w:asciiTheme="minorHAnsi" w:hAnsiTheme="minorHAnsi" w:cstheme="minorHAnsi"/>
                <w:bCs/>
              </w:rPr>
              <w:t xml:space="preserve">who </w:t>
            </w:r>
            <w:r>
              <w:rPr>
                <w:rFonts w:asciiTheme="minorHAnsi" w:hAnsiTheme="minorHAnsi" w:cstheme="minorHAnsi"/>
                <w:bCs/>
              </w:rPr>
              <w:t>is</w:t>
            </w:r>
            <w:r w:rsidRPr="00D276F3">
              <w:rPr>
                <w:rFonts w:asciiTheme="minorHAnsi" w:hAnsiTheme="minorHAnsi" w:cstheme="minorHAnsi"/>
                <w:bCs/>
              </w:rPr>
              <w:t xml:space="preserve"> nearing </w:t>
            </w:r>
            <w:r w:rsidR="002263AF">
              <w:rPr>
                <w:rFonts w:asciiTheme="minorHAnsi" w:hAnsiTheme="minorHAnsi" w:cstheme="minorHAnsi"/>
                <w:bCs/>
              </w:rPr>
              <w:t>the end of their life and</w:t>
            </w:r>
            <w:r w:rsidR="00BF370D">
              <w:rPr>
                <w:rFonts w:asciiTheme="minorHAnsi" w:hAnsiTheme="minorHAnsi" w:cstheme="minorHAnsi"/>
                <w:bCs/>
              </w:rPr>
              <w:t xml:space="preserve"> </w:t>
            </w:r>
            <w:r w:rsidR="002263AF">
              <w:rPr>
                <w:rFonts w:asciiTheme="minorHAnsi" w:hAnsiTheme="minorHAnsi" w:cstheme="minorHAnsi"/>
                <w:bCs/>
              </w:rPr>
              <w:t xml:space="preserve">administered if needed </w:t>
            </w:r>
            <w:r w:rsidRPr="00D276F3">
              <w:rPr>
                <w:rFonts w:asciiTheme="minorHAnsi" w:hAnsiTheme="minorHAnsi" w:cstheme="minorHAnsi"/>
                <w:bCs/>
              </w:rPr>
              <w:t>by a register</w:t>
            </w:r>
            <w:r w:rsidR="002263AF">
              <w:rPr>
                <w:rFonts w:asciiTheme="minorHAnsi" w:hAnsiTheme="minorHAnsi" w:cstheme="minorHAnsi"/>
                <w:bCs/>
              </w:rPr>
              <w:t>ed</w:t>
            </w:r>
            <w:r w:rsidRPr="00D276F3">
              <w:rPr>
                <w:rFonts w:asciiTheme="minorHAnsi" w:hAnsiTheme="minorHAnsi" w:cstheme="minorHAnsi"/>
                <w:bCs/>
              </w:rPr>
              <w:t xml:space="preserve"> health professional to manage symptoms of pain, excess secretion and agitation. The use of anticipatory medicines is inherent in NICE best practice guidelines</w:t>
            </w:r>
            <w:r>
              <w:rPr>
                <w:rFonts w:asciiTheme="minorHAnsi" w:hAnsiTheme="minorHAnsi" w:cstheme="minorHAnsi"/>
                <w:bCs/>
              </w:rPr>
              <w:t>, but</w:t>
            </w:r>
            <w:r w:rsidRPr="00D276F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D276F3">
              <w:rPr>
                <w:rFonts w:asciiTheme="minorHAnsi" w:hAnsiTheme="minorHAnsi" w:cstheme="minorHAnsi"/>
                <w:bCs/>
              </w:rPr>
              <w:t xml:space="preserve">here is limited evidence </w:t>
            </w:r>
            <w:r>
              <w:rPr>
                <w:rFonts w:asciiTheme="minorHAnsi" w:hAnsiTheme="minorHAnsi" w:cstheme="minorHAnsi"/>
                <w:bCs/>
              </w:rPr>
              <w:t>on</w:t>
            </w:r>
            <w:r w:rsidRPr="00D276F3">
              <w:rPr>
                <w:rFonts w:asciiTheme="minorHAnsi" w:hAnsiTheme="minorHAnsi" w:cstheme="minorHAnsi"/>
                <w:bCs/>
              </w:rPr>
              <w:t xml:space="preserve"> clinical-effectiveness, cost-effectiveness or safety </w:t>
            </w:r>
            <w:r>
              <w:rPr>
                <w:rFonts w:asciiTheme="minorHAnsi" w:hAnsiTheme="minorHAnsi" w:cstheme="minorHAnsi"/>
                <w:bCs/>
              </w:rPr>
              <w:t>in community practice</w:t>
            </w:r>
            <w:r w:rsidRPr="00D276F3">
              <w:rPr>
                <w:rFonts w:asciiTheme="minorHAnsi" w:hAnsiTheme="minorHAnsi" w:cstheme="minorHAnsi"/>
                <w:bCs/>
              </w:rPr>
              <w:t xml:space="preserve"> (1)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D276F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276F3">
              <w:rPr>
                <w:rFonts w:asciiTheme="minorHAnsi" w:hAnsiTheme="minorHAnsi" w:cstheme="minorHAnsi"/>
                <w:bCs/>
              </w:rPr>
              <w:t>In care home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D276F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anticipatory</w:t>
            </w:r>
            <w:r w:rsidRPr="00D276F3">
              <w:rPr>
                <w:rFonts w:asciiTheme="minorHAnsi" w:hAnsiTheme="minorHAnsi" w:cstheme="minorHAnsi"/>
                <w:bCs/>
              </w:rPr>
              <w:t xml:space="preserve"> medicines are prescribed, dispensed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D276F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then</w:t>
            </w:r>
            <w:r w:rsidRPr="00D276F3">
              <w:rPr>
                <w:rFonts w:asciiTheme="minorHAnsi" w:hAnsiTheme="minorHAnsi" w:cstheme="minorHAnsi"/>
                <w:bCs/>
              </w:rPr>
              <w:t xml:space="preserve"> stored until care home staff decide the resident requires them. It is not understood how </w:t>
            </w:r>
            <w:r>
              <w:rPr>
                <w:rFonts w:asciiTheme="minorHAnsi" w:hAnsiTheme="minorHAnsi" w:cstheme="minorHAnsi"/>
                <w:bCs/>
              </w:rPr>
              <w:t xml:space="preserve">staff make the </w:t>
            </w:r>
            <w:r w:rsidRPr="00D276F3">
              <w:rPr>
                <w:rFonts w:asciiTheme="minorHAnsi" w:hAnsiTheme="minorHAnsi" w:cstheme="minorHAnsi"/>
                <w:bCs/>
              </w:rPr>
              <w:t xml:space="preserve">decision that symptoms </w:t>
            </w:r>
            <w:r w:rsidR="002263AF">
              <w:rPr>
                <w:rFonts w:asciiTheme="minorHAnsi" w:hAnsiTheme="minorHAnsi" w:cstheme="minorHAnsi"/>
                <w:bCs/>
              </w:rPr>
              <w:t xml:space="preserve">require this. </w:t>
            </w:r>
            <w:r>
              <w:rPr>
                <w:rFonts w:asciiTheme="minorHAnsi" w:hAnsiTheme="minorHAnsi" w:cstheme="minorHAnsi"/>
                <w:bCs/>
              </w:rPr>
              <w:t>N</w:t>
            </w:r>
            <w:r w:rsidRPr="00D276F3">
              <w:rPr>
                <w:rFonts w:asciiTheme="minorHAnsi" w:hAnsiTheme="minorHAnsi" w:cstheme="minorHAnsi"/>
                <w:bCs/>
              </w:rPr>
              <w:t xml:space="preserve">urses </w:t>
            </w:r>
            <w:r>
              <w:rPr>
                <w:rFonts w:asciiTheme="minorHAnsi" w:hAnsiTheme="minorHAnsi" w:cstheme="minorHAnsi"/>
                <w:bCs/>
              </w:rPr>
              <w:t>can</w:t>
            </w:r>
            <w:r w:rsidRPr="00D276F3">
              <w:rPr>
                <w:rFonts w:asciiTheme="minorHAnsi" w:hAnsiTheme="minorHAnsi" w:cstheme="minorHAnsi"/>
                <w:bCs/>
              </w:rPr>
              <w:t xml:space="preserve"> experience emotional burden when deci</w:t>
            </w:r>
            <w:r>
              <w:rPr>
                <w:rFonts w:asciiTheme="minorHAnsi" w:hAnsiTheme="minorHAnsi" w:cstheme="minorHAnsi"/>
                <w:bCs/>
              </w:rPr>
              <w:t>ding</w:t>
            </w:r>
            <w:r w:rsidRPr="00D276F3">
              <w:rPr>
                <w:rFonts w:asciiTheme="minorHAnsi" w:hAnsiTheme="minorHAnsi" w:cstheme="minorHAnsi"/>
                <w:bCs/>
              </w:rPr>
              <w:t xml:space="preserve"> to administer such medicine (2). In </w:t>
            </w:r>
            <w:r>
              <w:rPr>
                <w:rFonts w:asciiTheme="minorHAnsi" w:hAnsiTheme="minorHAnsi" w:cstheme="minorHAnsi"/>
                <w:bCs/>
              </w:rPr>
              <w:t xml:space="preserve">some </w:t>
            </w:r>
            <w:r w:rsidRPr="00D276F3">
              <w:rPr>
                <w:rFonts w:asciiTheme="minorHAnsi" w:hAnsiTheme="minorHAnsi" w:cstheme="minorHAnsi"/>
                <w:bCs/>
              </w:rPr>
              <w:t xml:space="preserve">care homes </w:t>
            </w:r>
            <w:r>
              <w:rPr>
                <w:rFonts w:asciiTheme="minorHAnsi" w:hAnsiTheme="minorHAnsi" w:cstheme="minorHAnsi"/>
                <w:bCs/>
              </w:rPr>
              <w:t>a senior care worker makes</w:t>
            </w:r>
            <w:r w:rsidRPr="00D276F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the </w:t>
            </w:r>
            <w:r w:rsidRPr="00D276F3">
              <w:rPr>
                <w:rFonts w:asciiTheme="minorHAnsi" w:hAnsiTheme="minorHAnsi" w:cstheme="minorHAnsi"/>
                <w:bCs/>
              </w:rPr>
              <w:t xml:space="preserve">clinical decision </w:t>
            </w:r>
            <w:r>
              <w:rPr>
                <w:rFonts w:asciiTheme="minorHAnsi" w:hAnsiTheme="minorHAnsi" w:cstheme="minorHAnsi"/>
                <w:bCs/>
              </w:rPr>
              <w:t>that a resident’s</w:t>
            </w:r>
            <w:r w:rsidRPr="00D276F3">
              <w:rPr>
                <w:rFonts w:asciiTheme="minorHAnsi" w:hAnsiTheme="minorHAnsi" w:cstheme="minorHAnsi"/>
                <w:bCs/>
              </w:rPr>
              <w:t xml:space="preserve"> symptom</w:t>
            </w:r>
            <w:r>
              <w:rPr>
                <w:rFonts w:asciiTheme="minorHAnsi" w:hAnsiTheme="minorHAnsi" w:cstheme="minorHAnsi"/>
                <w:bCs/>
              </w:rPr>
              <w:t>s require</w:t>
            </w:r>
            <w:r w:rsidRPr="00D276F3">
              <w:rPr>
                <w:rFonts w:asciiTheme="minorHAnsi" w:hAnsiTheme="minorHAnsi" w:cstheme="minorHAnsi"/>
                <w:bCs/>
              </w:rPr>
              <w:t xml:space="preserve"> relie</w:t>
            </w:r>
            <w:r>
              <w:rPr>
                <w:rFonts w:asciiTheme="minorHAnsi" w:hAnsiTheme="minorHAnsi" w:cstheme="minorHAnsi"/>
                <w:bCs/>
              </w:rPr>
              <w:t>f,</w:t>
            </w:r>
            <w:r w:rsidRPr="00D276F3">
              <w:rPr>
                <w:rFonts w:asciiTheme="minorHAnsi" w:hAnsiTheme="minorHAnsi" w:cstheme="minorHAnsi"/>
                <w:bCs/>
              </w:rPr>
              <w:t xml:space="preserve"> meaning timely administration relies on good communication with community </w:t>
            </w:r>
            <w:r>
              <w:rPr>
                <w:rFonts w:asciiTheme="minorHAnsi" w:hAnsiTheme="minorHAnsi" w:cstheme="minorHAnsi"/>
                <w:bCs/>
              </w:rPr>
              <w:t xml:space="preserve">registered </w:t>
            </w:r>
            <w:r w:rsidRPr="00D276F3">
              <w:rPr>
                <w:rFonts w:asciiTheme="minorHAnsi" w:hAnsiTheme="minorHAnsi" w:cstheme="minorHAnsi"/>
                <w:bCs/>
              </w:rPr>
              <w:t>health professional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D276F3">
              <w:rPr>
                <w:rFonts w:asciiTheme="minorHAnsi" w:hAnsiTheme="minorHAnsi" w:cstheme="minorHAnsi"/>
                <w:bCs/>
              </w:rPr>
              <w:t xml:space="preserve"> (3). </w:t>
            </w:r>
            <w:r>
              <w:rPr>
                <w:rFonts w:asciiTheme="minorHAnsi" w:hAnsiTheme="minorHAnsi" w:cstheme="minorHAnsi"/>
                <w:bCs/>
              </w:rPr>
              <w:t xml:space="preserve">This PhD will review literature and use interviews to examine the heuristics that shape decisions to administer anticipatory medicines. </w:t>
            </w:r>
          </w:p>
          <w:p w14:paraId="0DCD0739" w14:textId="3AE4DAED" w:rsidR="00586E28" w:rsidRPr="00D276F3" w:rsidRDefault="00586E28" w:rsidP="008A1243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Prescribing</w:t>
            </w:r>
            <w:r w:rsidRPr="00D276F3">
              <w:rPr>
                <w:rFonts w:asciiTheme="minorHAnsi" w:hAnsiTheme="minorHAnsi" w:cstheme="minorHAnsi"/>
                <w:bCs/>
              </w:rPr>
              <w:t xml:space="preserve"> anticipatory medicines is a social marker of approaching death and the</w:t>
            </w:r>
            <w:r>
              <w:rPr>
                <w:rFonts w:asciiTheme="minorHAnsi" w:hAnsiTheme="minorHAnsi" w:cstheme="minorHAnsi"/>
                <w:bCs/>
              </w:rPr>
              <w:t>ir</w:t>
            </w:r>
            <w:r w:rsidRPr="00D276F3">
              <w:rPr>
                <w:rFonts w:asciiTheme="minorHAnsi" w:hAnsiTheme="minorHAnsi" w:cstheme="minorHAnsi"/>
                <w:bCs/>
              </w:rPr>
              <w:t xml:space="preserve"> </w:t>
            </w:r>
            <w:r w:rsidR="00BF370D">
              <w:rPr>
                <w:rFonts w:asciiTheme="minorHAnsi" w:hAnsiTheme="minorHAnsi" w:cstheme="minorHAnsi"/>
                <w:bCs/>
              </w:rPr>
              <w:t>use</w:t>
            </w:r>
            <w:r w:rsidRPr="00D276F3">
              <w:rPr>
                <w:rFonts w:asciiTheme="minorHAnsi" w:hAnsiTheme="minorHAnsi" w:cstheme="minorHAnsi"/>
                <w:bCs/>
              </w:rPr>
              <w:t xml:space="preserve"> may be a source of distress for residents and their families. The moral complexity of anticipatory medicines is exacerbated by lay misunderstanding of their purpose</w:t>
            </w:r>
            <w:r>
              <w:rPr>
                <w:rFonts w:asciiTheme="minorHAnsi" w:hAnsiTheme="minorHAnsi" w:cstheme="minorHAnsi"/>
                <w:bCs/>
              </w:rPr>
              <w:t>;</w:t>
            </w:r>
            <w:r w:rsidRPr="00D276F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this </w:t>
            </w:r>
            <w:r w:rsidRPr="00D276F3">
              <w:rPr>
                <w:rFonts w:asciiTheme="minorHAnsi" w:hAnsiTheme="minorHAnsi" w:cstheme="minorHAnsi"/>
                <w:bCs/>
              </w:rPr>
              <w:t xml:space="preserve">can create cultural concerns about hastening death. </w:t>
            </w:r>
            <w:r>
              <w:rPr>
                <w:rFonts w:asciiTheme="minorHAnsi" w:hAnsiTheme="minorHAnsi" w:cstheme="minorHAnsi"/>
                <w:bCs/>
              </w:rPr>
              <w:t>The little-known perceptions of residents and families of these medicines will be explored through qualitative methods.</w:t>
            </w:r>
          </w:p>
          <w:p w14:paraId="0D9ADF4A" w14:textId="77777777" w:rsidR="00586E28" w:rsidRDefault="00586E28" w:rsidP="008A1243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Examining specific views of staff, residents, and families in relation to anticipatory medicines, within a contextually diverse sample of care homes, will provide empirical evidence from which to </w:t>
            </w:r>
            <w:r>
              <w:rPr>
                <w:rFonts w:asciiTheme="minorHAnsi" w:hAnsiTheme="minorHAnsi" w:cstheme="minorHAnsi"/>
                <w:bCs/>
              </w:rPr>
              <w:lastRenderedPageBreak/>
              <w:t xml:space="preserve">co-design practice and policy guidance around optimum ways to use anticipatory medicines in UK care homes. </w:t>
            </w:r>
          </w:p>
          <w:p w14:paraId="0974DB99" w14:textId="77777777" w:rsidR="00586E28" w:rsidRPr="00D276F3" w:rsidRDefault="00586E28" w:rsidP="008A1243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</w:p>
          <w:p w14:paraId="63193B85" w14:textId="77777777" w:rsidR="00586E28" w:rsidRPr="00D276F3" w:rsidRDefault="00586E28" w:rsidP="008A1243">
            <w:pPr>
              <w:spacing w:line="264" w:lineRule="auto"/>
              <w:rPr>
                <w:rFonts w:asciiTheme="minorHAnsi" w:hAnsiTheme="minorHAnsi" w:cstheme="minorHAnsi"/>
                <w:bCs/>
              </w:rPr>
            </w:pPr>
            <w:r w:rsidRPr="00D276F3">
              <w:rPr>
                <w:rFonts w:asciiTheme="minorHAnsi" w:hAnsiTheme="minorHAnsi" w:cstheme="minorHAnsi"/>
                <w:bCs/>
              </w:rPr>
              <w:t>1 Bowers et al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D276F3">
              <w:rPr>
                <w:rFonts w:asciiTheme="minorHAnsi" w:hAnsiTheme="minorHAnsi" w:cstheme="minorHAnsi"/>
                <w:bCs/>
              </w:rPr>
              <w:t xml:space="preserve"> </w:t>
            </w:r>
            <w:hyperlink r:id="rId8" w:history="1">
              <w:r w:rsidRPr="00D276F3">
                <w:rPr>
                  <w:rFonts w:asciiTheme="minorHAnsi" w:hAnsiTheme="minorHAnsi" w:cstheme="minorHAnsi"/>
                  <w:bCs/>
                  <w:color w:val="auto"/>
                </w:rPr>
                <w:t>Anticipatory prescribing of injectable medications for adults at the end of life in the community: A systematic literature review and narrative synthesis</w:t>
              </w:r>
            </w:hyperlink>
            <w:r w:rsidRPr="00D276F3">
              <w:rPr>
                <w:rFonts w:asciiTheme="minorHAnsi" w:hAnsiTheme="minorHAnsi" w:cstheme="minorHAnsi"/>
                <w:bCs/>
                <w:color w:val="auto"/>
              </w:rPr>
              <w:t xml:space="preserve">. </w:t>
            </w:r>
            <w:r w:rsidRPr="00D276F3">
              <w:rPr>
                <w:rFonts w:asciiTheme="minorHAnsi" w:hAnsiTheme="minorHAnsi" w:cstheme="minorHAnsi"/>
                <w:bCs/>
              </w:rPr>
              <w:t>Palliat Med 2019;33(2):160-177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bookmarkEnd w:id="0"/>
          <w:p w14:paraId="5A0D4D55" w14:textId="427D5143" w:rsidR="00586E28" w:rsidRPr="00D276F3" w:rsidRDefault="00A70AF9" w:rsidP="008A1243">
            <w:pPr>
              <w:spacing w:line="264" w:lineRule="auto"/>
              <w:rPr>
                <w:rFonts w:asciiTheme="minorHAnsi" w:hAnsiTheme="minorHAnsi" w:cstheme="minorHAnsi"/>
                <w:bCs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586E28" w:rsidRPr="00D276F3">
              <w:rPr>
                <w:rFonts w:asciiTheme="minorHAnsi" w:hAnsiTheme="minorHAnsi" w:cstheme="minorHAnsi"/>
                <w:bCs/>
              </w:rPr>
              <w:t xml:space="preserve"> Wi</w:t>
            </w:r>
            <w:r w:rsidR="00586E28">
              <w:rPr>
                <w:rFonts w:asciiTheme="minorHAnsi" w:hAnsiTheme="minorHAnsi" w:cstheme="minorHAnsi"/>
                <w:bCs/>
              </w:rPr>
              <w:t>l</w:t>
            </w:r>
            <w:r w:rsidR="00586E28" w:rsidRPr="00D276F3">
              <w:rPr>
                <w:rFonts w:asciiTheme="minorHAnsi" w:hAnsiTheme="minorHAnsi" w:cstheme="minorHAnsi"/>
                <w:bCs/>
              </w:rPr>
              <w:t xml:space="preserve">son et al. </w:t>
            </w:r>
            <w:r w:rsidR="00586E28" w:rsidRPr="00D276F3">
              <w:rPr>
                <w:rFonts w:asciiTheme="minorHAnsi" w:hAnsiTheme="minorHAnsi" w:cstheme="minorHAnsi"/>
                <w:bCs/>
                <w:color w:val="212121"/>
                <w:shd w:val="clear" w:color="auto" w:fill="FFFFFF"/>
              </w:rPr>
              <w:t>Administering anticipatory medications in end-of-life care: a qualitative study of nursing practice in the community and in nursing homes. Palliat Med. 2015</w:t>
            </w:r>
            <w:r w:rsidR="00586E28">
              <w:rPr>
                <w:rFonts w:asciiTheme="minorHAnsi" w:hAnsiTheme="minorHAnsi" w:cstheme="minorHAnsi"/>
                <w:bCs/>
                <w:color w:val="212121"/>
                <w:shd w:val="clear" w:color="auto" w:fill="FFFFFF"/>
              </w:rPr>
              <w:t>,</w:t>
            </w:r>
            <w:r w:rsidR="00586E28" w:rsidRPr="00D276F3">
              <w:rPr>
                <w:rFonts w:asciiTheme="minorHAnsi" w:hAnsiTheme="minorHAnsi" w:cstheme="minorHAnsi"/>
                <w:bCs/>
                <w:color w:val="212121"/>
                <w:shd w:val="clear" w:color="auto" w:fill="FFFFFF"/>
              </w:rPr>
              <w:t>29(1):60-70.</w:t>
            </w:r>
          </w:p>
          <w:p w14:paraId="4B5CA4EC" w14:textId="5CA35BBE" w:rsidR="00586E28" w:rsidRDefault="00586E28" w:rsidP="008A1243">
            <w:pPr>
              <w:spacing w:line="264" w:lineRule="auto"/>
              <w:rPr>
                <w:rFonts w:asciiTheme="minorHAnsi" w:hAnsiTheme="minorHAnsi" w:cstheme="minorHAnsi"/>
                <w:bCs/>
                <w:color w:val="212121"/>
                <w:shd w:val="clear" w:color="auto" w:fill="FFFFFF"/>
              </w:rPr>
            </w:pPr>
            <w:r w:rsidRPr="00D276F3">
              <w:rPr>
                <w:rFonts w:asciiTheme="minorHAnsi" w:hAnsiTheme="minorHAnsi" w:cstheme="minorHAnsi"/>
                <w:bCs/>
              </w:rPr>
              <w:t xml:space="preserve">3 </w:t>
            </w:r>
            <w:r>
              <w:rPr>
                <w:rFonts w:asciiTheme="minorHAnsi" w:hAnsiTheme="minorHAnsi" w:cstheme="minorHAnsi"/>
                <w:bCs/>
              </w:rPr>
              <w:t xml:space="preserve">Faull et al. </w:t>
            </w:r>
            <w:r w:rsidRPr="00D276F3">
              <w:rPr>
                <w:rFonts w:asciiTheme="minorHAnsi" w:hAnsiTheme="minorHAnsi" w:cstheme="minorHAnsi"/>
                <w:bCs/>
                <w:color w:val="212121"/>
                <w:shd w:val="clear" w:color="auto" w:fill="FFFFFF"/>
              </w:rPr>
              <w:t>Anticipatory prescribing in terminal care at home: what challenges do community health professionals encounter? BMJ Support Palliat Care. 2013;3(1):91-7</w:t>
            </w:r>
            <w:r>
              <w:rPr>
                <w:rFonts w:asciiTheme="minorHAnsi" w:hAnsiTheme="minorHAnsi" w:cstheme="minorHAnsi"/>
                <w:bCs/>
                <w:color w:val="212121"/>
                <w:shd w:val="clear" w:color="auto" w:fill="FFFFFF"/>
              </w:rPr>
              <w:t>.</w:t>
            </w:r>
          </w:p>
          <w:p w14:paraId="11BB4B67" w14:textId="77777777" w:rsidR="00586E28" w:rsidRDefault="00586E28" w:rsidP="008A1243">
            <w:pPr>
              <w:rPr>
                <w:b/>
              </w:rPr>
            </w:pPr>
          </w:p>
          <w:p w14:paraId="59487393" w14:textId="77777777" w:rsidR="00586E28" w:rsidRDefault="00586E28" w:rsidP="008A1243">
            <w:pPr>
              <w:rPr>
                <w:b/>
              </w:rPr>
            </w:pPr>
          </w:p>
        </w:tc>
      </w:tr>
    </w:tbl>
    <w:p w14:paraId="0BB418E0" w14:textId="77777777" w:rsidR="00586E28" w:rsidRDefault="00586E28" w:rsidP="00586E28">
      <w:pPr>
        <w:spacing w:after="0" w:line="240" w:lineRule="auto"/>
      </w:pPr>
    </w:p>
    <w:p w14:paraId="344C4CD2" w14:textId="77777777" w:rsidR="00833F3A" w:rsidRDefault="00833F3A"/>
    <w:sectPr w:rsidR="00833F3A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28"/>
    <w:rsid w:val="0008518C"/>
    <w:rsid w:val="000F146D"/>
    <w:rsid w:val="002263AF"/>
    <w:rsid w:val="002A287A"/>
    <w:rsid w:val="00586E28"/>
    <w:rsid w:val="005F2BE0"/>
    <w:rsid w:val="00725BC8"/>
    <w:rsid w:val="00816BE4"/>
    <w:rsid w:val="00833F3A"/>
    <w:rsid w:val="008810BE"/>
    <w:rsid w:val="009B0ACE"/>
    <w:rsid w:val="00A5159B"/>
    <w:rsid w:val="00A54528"/>
    <w:rsid w:val="00A63CF3"/>
    <w:rsid w:val="00A70AF9"/>
    <w:rsid w:val="00BA3438"/>
    <w:rsid w:val="00B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5AC5"/>
  <w15:chartTrackingRefBased/>
  <w15:docId w15:val="{100ED6C7-81EB-4963-AE6D-4391EBC3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8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AF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AF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AF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63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6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026921631881579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inda.birt@leic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B04F0-2801-4106-B19A-DF097D9F1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4E65B-E61B-4913-9471-54A5E3027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B3BBD-FBC5-48AD-B8DF-6F49BC923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Birt (HSC - Staff)</dc:creator>
  <cp:keywords/>
  <dc:description/>
  <cp:lastModifiedBy>White, Karen L.</cp:lastModifiedBy>
  <cp:revision>6</cp:revision>
  <dcterms:created xsi:type="dcterms:W3CDTF">2022-11-20T13:44:00Z</dcterms:created>
  <dcterms:modified xsi:type="dcterms:W3CDTF">2022-11-21T15:52:00Z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