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BDAC" w14:textId="77777777" w:rsidR="000E4451" w:rsidRDefault="000E4451" w:rsidP="000E4451">
      <w:pPr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University of Leicester </w:t>
      </w:r>
    </w:p>
    <w:p w14:paraId="573134F1" w14:textId="77777777" w:rsidR="000E4451" w:rsidRDefault="000E4451" w:rsidP="000E4451">
      <w:pPr>
        <w:spacing w:line="240" w:lineRule="auto"/>
        <w:rPr>
          <w:rFonts w:ascii="Arial" w:eastAsiaTheme="minorHAnsi" w:hAnsi="Arial" w:cs="Arial"/>
          <w:b/>
          <w:color w:val="auto"/>
        </w:rPr>
      </w:pPr>
      <w:r>
        <w:rPr>
          <w:rFonts w:cs="Arial"/>
          <w:b/>
        </w:rPr>
        <w:t xml:space="preserve">Future 50  PhD Scholarship </w:t>
      </w: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8551F6" w:rsidRPr="00066C81" w14:paraId="20D7B158" w14:textId="77777777" w:rsidTr="008551F6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2F0793" w14:textId="77777777" w:rsidR="008551F6" w:rsidRPr="00066C81" w:rsidRDefault="008551F6" w:rsidP="00916367">
            <w:pPr>
              <w:rPr>
                <w:b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427036" w14:textId="77777777" w:rsidR="008551F6" w:rsidRPr="00066C81" w:rsidRDefault="008551F6" w:rsidP="00916367"/>
        </w:tc>
      </w:tr>
      <w:tr w:rsidR="0086321A" w:rsidRPr="00066C81" w14:paraId="30AF34D0" w14:textId="77777777" w:rsidTr="008551F6">
        <w:tc>
          <w:tcPr>
            <w:tcW w:w="322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3FD0124" w14:textId="77777777" w:rsidR="0086321A" w:rsidRPr="00066C81" w:rsidRDefault="0086321A" w:rsidP="00916367">
            <w:pPr>
              <w:rPr>
                <w:b/>
              </w:rPr>
            </w:pPr>
            <w:r w:rsidRPr="00066C81">
              <w:rPr>
                <w:b/>
              </w:rPr>
              <w:t>Project Reference</w:t>
            </w:r>
          </w:p>
        </w:tc>
        <w:tc>
          <w:tcPr>
            <w:tcW w:w="5807" w:type="dxa"/>
            <w:tcBorders>
              <w:top w:val="single" w:sz="4" w:space="0" w:color="auto"/>
            </w:tcBorders>
          </w:tcPr>
          <w:p w14:paraId="7C219DC9" w14:textId="6BE4FDDB" w:rsidR="0086321A" w:rsidRPr="00066C81" w:rsidRDefault="00E77AD5" w:rsidP="00916367">
            <w:r>
              <w:t>GGB</w:t>
            </w:r>
            <w:r w:rsidR="002847B9">
              <w:t xml:space="preserve">  </w:t>
            </w:r>
            <w:proofErr w:type="spellStart"/>
            <w:r w:rsidR="002847B9">
              <w:t>Schilcher</w:t>
            </w:r>
            <w:proofErr w:type="spellEnd"/>
          </w:p>
        </w:tc>
      </w:tr>
    </w:tbl>
    <w:p w14:paraId="4C89CEBA" w14:textId="77777777" w:rsidR="0086321A" w:rsidRDefault="0086321A" w:rsidP="0086321A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2978"/>
        <w:gridCol w:w="1530"/>
        <w:gridCol w:w="1299"/>
      </w:tblGrid>
      <w:tr w:rsidR="0086321A" w:rsidRPr="00066C81" w14:paraId="30FCBA6E" w14:textId="77777777" w:rsidTr="55DBE1BE">
        <w:tc>
          <w:tcPr>
            <w:tcW w:w="3227" w:type="dxa"/>
            <w:shd w:val="clear" w:color="auto" w:fill="F2F2F2" w:themeFill="background1" w:themeFillShade="F2"/>
          </w:tcPr>
          <w:p w14:paraId="5DCC9421" w14:textId="77777777" w:rsidR="0086321A" w:rsidRPr="00066C81" w:rsidRDefault="0086321A" w:rsidP="00916367">
            <w:pPr>
              <w:rPr>
                <w:b/>
              </w:rPr>
            </w:pPr>
            <w:r w:rsidRPr="00066C81">
              <w:rPr>
                <w:b/>
              </w:rPr>
              <w:t>First Supervisor</w:t>
            </w:r>
          </w:p>
        </w:tc>
        <w:tc>
          <w:tcPr>
            <w:tcW w:w="5807" w:type="dxa"/>
            <w:gridSpan w:val="3"/>
          </w:tcPr>
          <w:p w14:paraId="0C5B98AC" w14:textId="77777777" w:rsidR="0086321A" w:rsidRPr="00066C81" w:rsidRDefault="0086321A" w:rsidP="00916367">
            <w:proofErr w:type="spellStart"/>
            <w:r>
              <w:t>Dr.</w:t>
            </w:r>
            <w:proofErr w:type="spellEnd"/>
            <w:r>
              <w:t xml:space="preserve"> Katrin </w:t>
            </w:r>
            <w:proofErr w:type="spellStart"/>
            <w:r>
              <w:t>Schilcher</w:t>
            </w:r>
            <w:proofErr w:type="spellEnd"/>
          </w:p>
        </w:tc>
      </w:tr>
      <w:tr w:rsidR="0086321A" w:rsidRPr="00066C81" w14:paraId="60964C51" w14:textId="77777777" w:rsidTr="55DBE1BE">
        <w:tc>
          <w:tcPr>
            <w:tcW w:w="3227" w:type="dxa"/>
            <w:shd w:val="clear" w:color="auto" w:fill="F2F2F2" w:themeFill="background1" w:themeFillShade="F2"/>
          </w:tcPr>
          <w:p w14:paraId="6A88CD6C" w14:textId="77777777" w:rsidR="0086321A" w:rsidRPr="00066C81" w:rsidRDefault="0086321A" w:rsidP="00916367">
            <w:pPr>
              <w:rPr>
                <w:b/>
              </w:rPr>
            </w:pPr>
            <w:r w:rsidRPr="00066C81">
              <w:rPr>
                <w:b/>
              </w:rPr>
              <w:t>School/Department</w:t>
            </w:r>
          </w:p>
        </w:tc>
        <w:tc>
          <w:tcPr>
            <w:tcW w:w="5807" w:type="dxa"/>
            <w:gridSpan w:val="3"/>
          </w:tcPr>
          <w:p w14:paraId="1D3DA2AB" w14:textId="77777777" w:rsidR="0086321A" w:rsidRPr="00066C81" w:rsidRDefault="0086321A" w:rsidP="00916367">
            <w:r>
              <w:t>Department of Genetics and Genome Biology</w:t>
            </w:r>
          </w:p>
        </w:tc>
      </w:tr>
      <w:tr w:rsidR="0086321A" w:rsidRPr="00066C81" w14:paraId="5E5EEB70" w14:textId="77777777" w:rsidTr="55DBE1BE">
        <w:trPr>
          <w:trHeight w:val="145"/>
        </w:trPr>
        <w:tc>
          <w:tcPr>
            <w:tcW w:w="3227" w:type="dxa"/>
            <w:shd w:val="clear" w:color="auto" w:fill="F2F2F2" w:themeFill="background1" w:themeFillShade="F2"/>
          </w:tcPr>
          <w:p w14:paraId="00FAA33C" w14:textId="77777777" w:rsidR="0086321A" w:rsidRPr="00066C81" w:rsidRDefault="0086321A" w:rsidP="00916367">
            <w:pPr>
              <w:rPr>
                <w:b/>
              </w:rPr>
            </w:pPr>
            <w:r w:rsidRPr="00066C81">
              <w:rPr>
                <w:b/>
              </w:rPr>
              <w:t xml:space="preserve">Email </w:t>
            </w:r>
          </w:p>
        </w:tc>
        <w:tc>
          <w:tcPr>
            <w:tcW w:w="2978" w:type="dxa"/>
          </w:tcPr>
          <w:p w14:paraId="0DF95B34" w14:textId="3F0FECD5" w:rsidR="0086321A" w:rsidRPr="00066C81" w:rsidRDefault="4C26C3C0" w:rsidP="55DBE1BE">
            <w:pPr>
              <w:rPr>
                <w:sz w:val="20"/>
                <w:szCs w:val="20"/>
              </w:rPr>
            </w:pPr>
            <w:r w:rsidRPr="55DBE1BE">
              <w:rPr>
                <w:sz w:val="20"/>
                <w:szCs w:val="20"/>
              </w:rPr>
              <w:t>ks665@leicester.ac.uk</w:t>
            </w:r>
          </w:p>
          <w:p w14:paraId="2A54E62D" w14:textId="36CE2654" w:rsidR="0086321A" w:rsidRPr="00066C81" w:rsidRDefault="0086321A" w:rsidP="55DBE1B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160F1ABA" w14:textId="77777777" w:rsidR="0086321A" w:rsidRPr="00066C81" w:rsidRDefault="0086321A" w:rsidP="00916367">
            <w:pPr>
              <w:rPr>
                <w:b/>
              </w:rPr>
            </w:pPr>
            <w:r w:rsidRPr="00066C81">
              <w:rPr>
                <w:b/>
              </w:rPr>
              <w:t>Telephone Ext</w:t>
            </w:r>
          </w:p>
        </w:tc>
        <w:tc>
          <w:tcPr>
            <w:tcW w:w="1299" w:type="dxa"/>
          </w:tcPr>
          <w:p w14:paraId="5C811065" w14:textId="305BC550" w:rsidR="0086321A" w:rsidRPr="007C112A" w:rsidRDefault="0086321A" w:rsidP="00916367">
            <w:pPr>
              <w:rPr>
                <w:sz w:val="18"/>
                <w:szCs w:val="18"/>
              </w:rPr>
            </w:pPr>
          </w:p>
        </w:tc>
      </w:tr>
    </w:tbl>
    <w:p w14:paraId="7A7B09B1" w14:textId="77777777" w:rsidR="0086321A" w:rsidRDefault="0086321A" w:rsidP="0086321A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2664"/>
        <w:gridCol w:w="1635"/>
        <w:gridCol w:w="1479"/>
      </w:tblGrid>
      <w:tr w:rsidR="0086321A" w14:paraId="518BC135" w14:textId="77777777" w:rsidTr="00916367">
        <w:tc>
          <w:tcPr>
            <w:tcW w:w="3256" w:type="dxa"/>
            <w:shd w:val="clear" w:color="auto" w:fill="F2F2F2" w:themeFill="background1" w:themeFillShade="F2"/>
          </w:tcPr>
          <w:p w14:paraId="5D2FBB9E" w14:textId="77777777" w:rsidR="0086321A" w:rsidRPr="00B11D52" w:rsidRDefault="0086321A" w:rsidP="00916367">
            <w:pPr>
              <w:rPr>
                <w:b/>
              </w:rPr>
            </w:pPr>
            <w:r>
              <w:rPr>
                <w:b/>
              </w:rPr>
              <w:t>Second Supervisor</w:t>
            </w:r>
          </w:p>
        </w:tc>
        <w:tc>
          <w:tcPr>
            <w:tcW w:w="5778" w:type="dxa"/>
            <w:gridSpan w:val="3"/>
          </w:tcPr>
          <w:p w14:paraId="0B3D8108" w14:textId="4B0ED1AD" w:rsidR="0086321A" w:rsidRDefault="00E26666" w:rsidP="00916367">
            <w:r>
              <w:t>Prof. Julie A. Morrissey</w:t>
            </w:r>
          </w:p>
        </w:tc>
      </w:tr>
      <w:tr w:rsidR="0086321A" w14:paraId="60AD86A2" w14:textId="77777777" w:rsidTr="00916367">
        <w:tc>
          <w:tcPr>
            <w:tcW w:w="3256" w:type="dxa"/>
            <w:shd w:val="clear" w:color="auto" w:fill="F2F2F2" w:themeFill="background1" w:themeFillShade="F2"/>
          </w:tcPr>
          <w:p w14:paraId="797FFC05" w14:textId="77777777" w:rsidR="0086321A" w:rsidRDefault="0086321A" w:rsidP="00916367">
            <w:pPr>
              <w:rPr>
                <w:b/>
              </w:rPr>
            </w:pPr>
            <w:r>
              <w:rPr>
                <w:b/>
              </w:rPr>
              <w:t>School/Department</w:t>
            </w:r>
          </w:p>
        </w:tc>
        <w:tc>
          <w:tcPr>
            <w:tcW w:w="5778" w:type="dxa"/>
            <w:gridSpan w:val="3"/>
          </w:tcPr>
          <w:p w14:paraId="3DF44FFE" w14:textId="42E539F7" w:rsidR="0086321A" w:rsidRDefault="00E26666" w:rsidP="00916367">
            <w:r>
              <w:t>Department of Genetics and Genome Biology</w:t>
            </w:r>
          </w:p>
        </w:tc>
      </w:tr>
      <w:tr w:rsidR="0086321A" w14:paraId="1AA096AF" w14:textId="77777777" w:rsidTr="004E6F78">
        <w:tc>
          <w:tcPr>
            <w:tcW w:w="3256" w:type="dxa"/>
            <w:shd w:val="clear" w:color="auto" w:fill="F2F2F2" w:themeFill="background1" w:themeFillShade="F2"/>
          </w:tcPr>
          <w:p w14:paraId="7C12DA00" w14:textId="77777777" w:rsidR="0086321A" w:rsidRDefault="0086321A" w:rsidP="00916367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2664" w:type="dxa"/>
          </w:tcPr>
          <w:p w14:paraId="7A423A71" w14:textId="29B35B74" w:rsidR="0086321A" w:rsidRDefault="00ED3D28" w:rsidP="00916367">
            <w:r>
              <w:t>j</w:t>
            </w:r>
            <w:r w:rsidR="00E26666">
              <w:t>am26@leicester.ac.uk</w:t>
            </w:r>
          </w:p>
        </w:tc>
        <w:tc>
          <w:tcPr>
            <w:tcW w:w="1635" w:type="dxa"/>
            <w:shd w:val="clear" w:color="auto" w:fill="F2F2F2" w:themeFill="background1" w:themeFillShade="F2"/>
          </w:tcPr>
          <w:p w14:paraId="59C8F869" w14:textId="77777777" w:rsidR="0086321A" w:rsidRPr="008D3AC2" w:rsidRDefault="0086321A" w:rsidP="00916367">
            <w:pPr>
              <w:rPr>
                <w:b/>
              </w:rPr>
            </w:pPr>
            <w:r>
              <w:rPr>
                <w:b/>
              </w:rPr>
              <w:t>Telephone Ext</w:t>
            </w:r>
          </w:p>
        </w:tc>
        <w:tc>
          <w:tcPr>
            <w:tcW w:w="1479" w:type="dxa"/>
          </w:tcPr>
          <w:p w14:paraId="0DEEBBA0" w14:textId="254A3928" w:rsidR="0086321A" w:rsidRPr="00ED3D28" w:rsidRDefault="006B613F" w:rsidP="00916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D3D28" w:rsidRPr="00ED3D28">
              <w:rPr>
                <w:sz w:val="20"/>
                <w:szCs w:val="20"/>
              </w:rPr>
              <w:t>1122522272</w:t>
            </w:r>
          </w:p>
        </w:tc>
      </w:tr>
    </w:tbl>
    <w:p w14:paraId="1DC17BD6" w14:textId="77777777" w:rsidR="0086321A" w:rsidRDefault="0086321A" w:rsidP="0086321A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86321A" w14:paraId="4113A846" w14:textId="77777777" w:rsidTr="00916367">
        <w:tc>
          <w:tcPr>
            <w:tcW w:w="3256" w:type="dxa"/>
            <w:shd w:val="clear" w:color="auto" w:fill="F2F2F2" w:themeFill="background1" w:themeFillShade="F2"/>
          </w:tcPr>
          <w:p w14:paraId="22B8866D" w14:textId="77777777" w:rsidR="0086321A" w:rsidRPr="00B11D52" w:rsidRDefault="0086321A" w:rsidP="00916367">
            <w:pPr>
              <w:rPr>
                <w:b/>
              </w:rPr>
            </w:pPr>
            <w:r>
              <w:rPr>
                <w:b/>
              </w:rPr>
              <w:t>Additional Supervisor</w:t>
            </w:r>
          </w:p>
        </w:tc>
        <w:tc>
          <w:tcPr>
            <w:tcW w:w="5778" w:type="dxa"/>
          </w:tcPr>
          <w:p w14:paraId="1C09DA98" w14:textId="75669152" w:rsidR="0086321A" w:rsidRDefault="0086321A" w:rsidP="00916367">
            <w:proofErr w:type="spellStart"/>
            <w:r>
              <w:t>Dr.</w:t>
            </w:r>
            <w:proofErr w:type="spellEnd"/>
            <w:r>
              <w:t xml:space="preserve"> Christian Jenul, Department of Genetics and Genome Biology</w:t>
            </w:r>
          </w:p>
        </w:tc>
      </w:tr>
    </w:tbl>
    <w:p w14:paraId="2A2B61F8" w14:textId="77777777" w:rsidR="0086321A" w:rsidRDefault="0086321A" w:rsidP="0086321A">
      <w:pPr>
        <w:spacing w:after="0" w:line="240" w:lineRule="auto"/>
        <w:rPr>
          <w:b/>
          <w:u w:val="single"/>
        </w:rPr>
      </w:pPr>
    </w:p>
    <w:p w14:paraId="5D5A2715" w14:textId="77777777" w:rsidR="0086321A" w:rsidRPr="006B05B2" w:rsidRDefault="0086321A" w:rsidP="0086321A">
      <w:pPr>
        <w:spacing w:after="0" w:line="240" w:lineRule="auto"/>
        <w:rPr>
          <w:b/>
          <w:i/>
        </w:rPr>
      </w:pPr>
      <w:r w:rsidRPr="006B05B2">
        <w:rPr>
          <w:b/>
        </w:rPr>
        <w:t xml:space="preserve">Section 2 – </w:t>
      </w:r>
      <w:r w:rsidRPr="006B05B2">
        <w:rPr>
          <w:b/>
          <w:i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6611"/>
      </w:tblGrid>
      <w:tr w:rsidR="0086321A" w14:paraId="35C13C84" w14:textId="77777777" w:rsidTr="1CDF3CD6">
        <w:tc>
          <w:tcPr>
            <w:tcW w:w="1980" w:type="dxa"/>
            <w:shd w:val="clear" w:color="auto" w:fill="F2F2F2" w:themeFill="background1" w:themeFillShade="F2"/>
          </w:tcPr>
          <w:p w14:paraId="669A2F1D" w14:textId="77777777" w:rsidR="0086321A" w:rsidRDefault="0086321A" w:rsidP="00916367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  <w:p w14:paraId="440E473F" w14:textId="77777777" w:rsidR="0086321A" w:rsidRPr="00B11D52" w:rsidRDefault="0086321A" w:rsidP="00916367">
            <w:pPr>
              <w:rPr>
                <w:b/>
              </w:rPr>
            </w:pPr>
          </w:p>
        </w:tc>
        <w:tc>
          <w:tcPr>
            <w:tcW w:w="7036" w:type="dxa"/>
            <w:gridSpan w:val="2"/>
          </w:tcPr>
          <w:p w14:paraId="72D02250" w14:textId="77777777" w:rsidR="0086321A" w:rsidRPr="0008539D" w:rsidRDefault="0086321A" w:rsidP="00916367">
            <w:pPr>
              <w:spacing w:before="60" w:after="120"/>
              <w:ind w:right="-360"/>
              <w:jc w:val="both"/>
              <w:rPr>
                <w:rFonts w:asciiTheme="minorHAnsi" w:hAnsiTheme="minorHAnsi" w:cstheme="minorHAnsi"/>
              </w:rPr>
            </w:pPr>
            <w:r w:rsidRPr="0008539D">
              <w:rPr>
                <w:rFonts w:asciiTheme="minorHAnsi" w:hAnsiTheme="minorHAnsi" w:cstheme="minorHAnsi"/>
              </w:rPr>
              <w:t xml:space="preserve">Mining the bacterial </w:t>
            </w:r>
            <w:proofErr w:type="spellStart"/>
            <w:r w:rsidRPr="0008539D">
              <w:rPr>
                <w:rFonts w:asciiTheme="minorHAnsi" w:hAnsiTheme="minorHAnsi" w:cstheme="minorHAnsi"/>
              </w:rPr>
              <w:t>lipoproteome</w:t>
            </w:r>
            <w:proofErr w:type="spellEnd"/>
            <w:r w:rsidRPr="0008539D">
              <w:rPr>
                <w:rFonts w:asciiTheme="minorHAnsi" w:hAnsiTheme="minorHAnsi" w:cstheme="minorHAnsi"/>
              </w:rPr>
              <w:t xml:space="preserve"> to identify novel regulatory networks</w:t>
            </w:r>
          </w:p>
        </w:tc>
      </w:tr>
      <w:tr w:rsidR="0086321A" w14:paraId="001532F7" w14:textId="77777777" w:rsidTr="1CDF3CD6"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513B6BB2" w14:textId="77777777" w:rsidR="0086321A" w:rsidRDefault="0086321A" w:rsidP="00916367">
            <w:pPr>
              <w:rPr>
                <w:b/>
              </w:rPr>
            </w:pPr>
            <w:r>
              <w:rPr>
                <w:b/>
              </w:rPr>
              <w:t>Project Highlights: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6F9F5A09" w14:textId="77777777" w:rsidR="0086321A" w:rsidRDefault="0086321A" w:rsidP="00916367">
            <w:r>
              <w:t>1.</w:t>
            </w:r>
          </w:p>
        </w:tc>
        <w:tc>
          <w:tcPr>
            <w:tcW w:w="6611" w:type="dxa"/>
          </w:tcPr>
          <w:p w14:paraId="4F4E0B52" w14:textId="507AEB4A" w:rsidR="0086321A" w:rsidRPr="00542586" w:rsidRDefault="0086321A" w:rsidP="00916367">
            <w:pPr>
              <w:rPr>
                <w:sz w:val="20"/>
                <w:szCs w:val="20"/>
              </w:rPr>
            </w:pPr>
            <w:r w:rsidRPr="00542586">
              <w:rPr>
                <w:sz w:val="20"/>
                <w:szCs w:val="20"/>
              </w:rPr>
              <w:t xml:space="preserve">Novel regulatory networks in </w:t>
            </w:r>
            <w:r w:rsidR="0030108B">
              <w:rPr>
                <w:sz w:val="20"/>
                <w:szCs w:val="20"/>
              </w:rPr>
              <w:t xml:space="preserve">the </w:t>
            </w:r>
            <w:r w:rsidRPr="00542586">
              <w:rPr>
                <w:sz w:val="20"/>
                <w:szCs w:val="20"/>
              </w:rPr>
              <w:t xml:space="preserve">human pathogen </w:t>
            </w:r>
            <w:r w:rsidRPr="0030108B">
              <w:rPr>
                <w:i/>
                <w:iCs/>
                <w:sz w:val="20"/>
                <w:szCs w:val="20"/>
              </w:rPr>
              <w:t>Staphylococcus aureus</w:t>
            </w:r>
          </w:p>
        </w:tc>
      </w:tr>
      <w:tr w:rsidR="0086321A" w:rsidRPr="00663EC6" w14:paraId="1626EA0C" w14:textId="77777777" w:rsidTr="1CDF3CD6">
        <w:tc>
          <w:tcPr>
            <w:tcW w:w="1980" w:type="dxa"/>
            <w:vMerge/>
          </w:tcPr>
          <w:p w14:paraId="4850EFF8" w14:textId="77777777" w:rsidR="0086321A" w:rsidRDefault="0086321A" w:rsidP="0091636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6412C673" w14:textId="77777777" w:rsidR="0086321A" w:rsidRDefault="0086321A" w:rsidP="00916367">
            <w:r>
              <w:t>2.</w:t>
            </w:r>
          </w:p>
        </w:tc>
        <w:tc>
          <w:tcPr>
            <w:tcW w:w="6611" w:type="dxa"/>
          </w:tcPr>
          <w:p w14:paraId="3F540A96" w14:textId="77777777" w:rsidR="0086321A" w:rsidRPr="00542586" w:rsidRDefault="0086321A" w:rsidP="00916367">
            <w:pPr>
              <w:rPr>
                <w:sz w:val="20"/>
                <w:szCs w:val="20"/>
                <w:lang w:val="en-US"/>
              </w:rPr>
            </w:pPr>
            <w:r w:rsidRPr="00542586">
              <w:rPr>
                <w:sz w:val="20"/>
                <w:szCs w:val="20"/>
                <w:lang w:val="en-US"/>
              </w:rPr>
              <w:t xml:space="preserve">Distinct biological role of bacterial lipoprotein components </w:t>
            </w:r>
          </w:p>
        </w:tc>
      </w:tr>
      <w:tr w:rsidR="0086321A" w14:paraId="11588473" w14:textId="77777777" w:rsidTr="1CDF3CD6">
        <w:tc>
          <w:tcPr>
            <w:tcW w:w="1980" w:type="dxa"/>
            <w:vMerge/>
          </w:tcPr>
          <w:p w14:paraId="6DED81C2" w14:textId="77777777" w:rsidR="0086321A" w:rsidRPr="00663EC6" w:rsidRDefault="0086321A" w:rsidP="00916367">
            <w:pPr>
              <w:rPr>
                <w:b/>
                <w:lang w:val="en-U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4B97E08B" w14:textId="77777777" w:rsidR="0086321A" w:rsidRDefault="0086321A" w:rsidP="00916367">
            <w:r>
              <w:t>3.</w:t>
            </w:r>
          </w:p>
        </w:tc>
        <w:tc>
          <w:tcPr>
            <w:tcW w:w="6611" w:type="dxa"/>
          </w:tcPr>
          <w:p w14:paraId="1C8E1216" w14:textId="77777777" w:rsidR="0086321A" w:rsidRPr="00542586" w:rsidRDefault="0086321A" w:rsidP="00916367">
            <w:pPr>
              <w:rPr>
                <w:sz w:val="20"/>
                <w:szCs w:val="20"/>
              </w:rPr>
            </w:pPr>
            <w:r w:rsidRPr="00542586">
              <w:rPr>
                <w:sz w:val="20"/>
                <w:szCs w:val="20"/>
                <w:lang w:val="en-US"/>
              </w:rPr>
              <w:t xml:space="preserve">Interference with bacterial regulatory networks as </w:t>
            </w:r>
            <w:proofErr w:type="spellStart"/>
            <w:r w:rsidRPr="00542586">
              <w:rPr>
                <w:sz w:val="20"/>
                <w:szCs w:val="20"/>
                <w:lang w:val="en-US"/>
              </w:rPr>
              <w:t>antivirulence</w:t>
            </w:r>
            <w:proofErr w:type="spellEnd"/>
            <w:r w:rsidRPr="00542586">
              <w:rPr>
                <w:sz w:val="20"/>
                <w:szCs w:val="20"/>
                <w:lang w:val="en-US"/>
              </w:rPr>
              <w:t xml:space="preserve"> strategy </w:t>
            </w:r>
          </w:p>
        </w:tc>
      </w:tr>
      <w:tr w:rsidR="0086321A" w14:paraId="5DF05D6B" w14:textId="77777777" w:rsidTr="1CDF3CD6">
        <w:tc>
          <w:tcPr>
            <w:tcW w:w="9016" w:type="dxa"/>
            <w:gridSpan w:val="3"/>
            <w:shd w:val="clear" w:color="auto" w:fill="F2F2F2" w:themeFill="background1" w:themeFillShade="F2"/>
          </w:tcPr>
          <w:p w14:paraId="0BDDFAEF" w14:textId="77777777" w:rsidR="0086321A" w:rsidRDefault="0086321A" w:rsidP="00916367">
            <w:r>
              <w:rPr>
                <w:b/>
              </w:rPr>
              <w:t xml:space="preserve">Project Summary </w:t>
            </w:r>
          </w:p>
        </w:tc>
      </w:tr>
      <w:tr w:rsidR="0086321A" w:rsidRPr="00E26666" w14:paraId="0D4970D4" w14:textId="77777777" w:rsidTr="1CDF3CD6">
        <w:tc>
          <w:tcPr>
            <w:tcW w:w="9016" w:type="dxa"/>
            <w:gridSpan w:val="3"/>
          </w:tcPr>
          <w:p w14:paraId="693CAD5B" w14:textId="41115B8D" w:rsidR="0086321A" w:rsidRPr="00542586" w:rsidRDefault="0086321A" w:rsidP="00542586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bookmarkStart w:id="0" w:name="_Hlk118114343"/>
            <w:r w:rsidRPr="00D22BBA">
              <w:rPr>
                <w:rFonts w:asciiTheme="minorHAnsi" w:hAnsiTheme="minorHAnsi" w:cstheme="minorHAnsi"/>
                <w:b/>
                <w:bCs/>
                <w:u w:val="single"/>
              </w:rPr>
              <w:t>Background:</w:t>
            </w:r>
            <w:r w:rsidRPr="00542586">
              <w:rPr>
                <w:rFonts w:asciiTheme="minorHAnsi" w:hAnsiTheme="minorHAnsi" w:cstheme="minorHAnsi"/>
              </w:rPr>
              <w:t xml:space="preserve"> Lipoproteins (</w:t>
            </w:r>
            <w:proofErr w:type="spellStart"/>
            <w:r w:rsidRPr="00542586">
              <w:rPr>
                <w:rFonts w:asciiTheme="minorHAnsi" w:hAnsiTheme="minorHAnsi" w:cstheme="minorHAnsi"/>
              </w:rPr>
              <w:t>Lpp</w:t>
            </w:r>
            <w:proofErr w:type="spellEnd"/>
            <w:r w:rsidRPr="00542586">
              <w:rPr>
                <w:rFonts w:asciiTheme="minorHAnsi" w:hAnsiTheme="minorHAnsi" w:cstheme="minorHAnsi"/>
              </w:rPr>
              <w:t xml:space="preserve">) are present in all bacteria and play important roles in bacterial physiology and pathogenesis (1). Besides the lipid moiety and the protein part, </w:t>
            </w:r>
            <w:proofErr w:type="spellStart"/>
            <w:r w:rsidRPr="00542586">
              <w:rPr>
                <w:rFonts w:asciiTheme="minorHAnsi" w:hAnsiTheme="minorHAnsi" w:cstheme="minorHAnsi"/>
              </w:rPr>
              <w:t>Lpp</w:t>
            </w:r>
            <w:proofErr w:type="spellEnd"/>
            <w:r w:rsidRPr="00542586">
              <w:rPr>
                <w:rFonts w:asciiTheme="minorHAnsi" w:hAnsiTheme="minorHAnsi" w:cstheme="minorHAnsi"/>
              </w:rPr>
              <w:t xml:space="preserve"> include a third component, a small linear peptide derived from the secretion signal sequences of </w:t>
            </w:r>
            <w:proofErr w:type="spellStart"/>
            <w:r w:rsidRPr="00542586">
              <w:rPr>
                <w:rFonts w:asciiTheme="minorHAnsi" w:hAnsiTheme="minorHAnsi" w:cstheme="minorHAnsi"/>
              </w:rPr>
              <w:t>Lpp</w:t>
            </w:r>
            <w:proofErr w:type="spellEnd"/>
            <w:r w:rsidRPr="00542586">
              <w:rPr>
                <w:rFonts w:asciiTheme="minorHAnsi" w:hAnsiTheme="minorHAnsi" w:cstheme="minorHAnsi"/>
              </w:rPr>
              <w:t xml:space="preserve"> precursors. The latter was shown to be involved in the dissemination of antibiotic resistance in </w:t>
            </w:r>
            <w:r w:rsidRPr="00542586">
              <w:rPr>
                <w:rFonts w:asciiTheme="minorHAnsi" w:hAnsiTheme="minorHAnsi" w:cstheme="minorHAnsi"/>
                <w:i/>
                <w:iCs/>
              </w:rPr>
              <w:t xml:space="preserve">Enterococcus </w:t>
            </w:r>
            <w:r w:rsidRPr="00542586">
              <w:rPr>
                <w:rFonts w:asciiTheme="minorHAnsi" w:hAnsiTheme="minorHAnsi" w:cstheme="minorHAnsi"/>
              </w:rPr>
              <w:t xml:space="preserve">spp. (2) but the biological role of linear peptides in the human pathogen </w:t>
            </w:r>
            <w:r w:rsidRPr="00542586">
              <w:rPr>
                <w:rFonts w:asciiTheme="minorHAnsi" w:hAnsiTheme="minorHAnsi" w:cstheme="minorHAnsi"/>
                <w:i/>
                <w:iCs/>
              </w:rPr>
              <w:t xml:space="preserve">Staphylococcus aureus </w:t>
            </w:r>
            <w:r w:rsidRPr="00542586">
              <w:rPr>
                <w:rFonts w:asciiTheme="minorHAnsi" w:hAnsiTheme="minorHAnsi" w:cstheme="minorHAnsi"/>
              </w:rPr>
              <w:t xml:space="preserve">is poorly understood. We recently discovered a dedicated processing and secretion pathway for </w:t>
            </w:r>
            <w:proofErr w:type="spellStart"/>
            <w:r w:rsidRPr="00542586">
              <w:rPr>
                <w:rFonts w:asciiTheme="minorHAnsi" w:hAnsiTheme="minorHAnsi" w:cstheme="minorHAnsi"/>
              </w:rPr>
              <w:t>Lpp</w:t>
            </w:r>
            <w:proofErr w:type="spellEnd"/>
            <w:r w:rsidRPr="00542586">
              <w:rPr>
                <w:rFonts w:asciiTheme="minorHAnsi" w:hAnsiTheme="minorHAnsi" w:cstheme="minorHAnsi"/>
              </w:rPr>
              <w:t xml:space="preserve">-derived linear peptides in </w:t>
            </w:r>
            <w:r w:rsidRPr="00542586">
              <w:rPr>
                <w:rFonts w:asciiTheme="minorHAnsi" w:hAnsiTheme="minorHAnsi" w:cstheme="minorHAnsi"/>
                <w:i/>
                <w:iCs/>
              </w:rPr>
              <w:t xml:space="preserve">S. aureus </w:t>
            </w:r>
            <w:r w:rsidRPr="00542586">
              <w:rPr>
                <w:rFonts w:asciiTheme="minorHAnsi" w:hAnsiTheme="minorHAnsi" w:cstheme="minorHAnsi"/>
              </w:rPr>
              <w:t>(3).</w:t>
            </w:r>
            <w:r w:rsidRPr="00542586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542586">
              <w:rPr>
                <w:rFonts w:asciiTheme="minorHAnsi" w:hAnsiTheme="minorHAnsi" w:cstheme="minorHAnsi"/>
              </w:rPr>
              <w:t xml:space="preserve">In addition, preliminary data indicate distinct regulatory networks exist for the protein and linear peptide component of staphylococcal </w:t>
            </w:r>
            <w:proofErr w:type="spellStart"/>
            <w:r w:rsidRPr="00542586">
              <w:rPr>
                <w:rFonts w:asciiTheme="minorHAnsi" w:hAnsiTheme="minorHAnsi" w:cstheme="minorHAnsi"/>
              </w:rPr>
              <w:t>Lpp</w:t>
            </w:r>
            <w:proofErr w:type="spellEnd"/>
            <w:r w:rsidRPr="00542586">
              <w:rPr>
                <w:rFonts w:asciiTheme="minorHAnsi" w:hAnsiTheme="minorHAnsi" w:cstheme="minorHAnsi"/>
              </w:rPr>
              <w:t>.</w:t>
            </w:r>
          </w:p>
          <w:p w14:paraId="6E4DD3E8" w14:textId="1DC91AA4" w:rsidR="00542586" w:rsidRDefault="0086321A" w:rsidP="00542586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D22BBA">
              <w:rPr>
                <w:rFonts w:asciiTheme="minorHAnsi" w:hAnsiTheme="minorHAnsi" w:cstheme="minorHAnsi"/>
                <w:b/>
                <w:bCs/>
                <w:u w:val="single"/>
              </w:rPr>
              <w:t>Objectives:</w:t>
            </w:r>
            <w:r w:rsidRPr="00542586">
              <w:rPr>
                <w:rFonts w:asciiTheme="minorHAnsi" w:hAnsiTheme="minorHAnsi" w:cstheme="minorHAnsi"/>
              </w:rPr>
              <w:t xml:space="preserve"> The project seeks to decipher regulatory and communication networks governed by bacterial </w:t>
            </w:r>
            <w:proofErr w:type="spellStart"/>
            <w:r w:rsidRPr="00542586">
              <w:rPr>
                <w:rFonts w:asciiTheme="minorHAnsi" w:hAnsiTheme="minorHAnsi" w:cstheme="minorHAnsi"/>
              </w:rPr>
              <w:t>Lpp</w:t>
            </w:r>
            <w:proofErr w:type="spellEnd"/>
            <w:r w:rsidRPr="00542586">
              <w:rPr>
                <w:rFonts w:asciiTheme="minorHAnsi" w:hAnsiTheme="minorHAnsi" w:cstheme="minorHAnsi"/>
              </w:rPr>
              <w:t xml:space="preserve"> components. While the protein component of bacterial </w:t>
            </w:r>
            <w:proofErr w:type="spellStart"/>
            <w:r w:rsidRPr="00542586">
              <w:rPr>
                <w:rFonts w:asciiTheme="minorHAnsi" w:hAnsiTheme="minorHAnsi" w:cstheme="minorHAnsi"/>
              </w:rPr>
              <w:t>Lpp</w:t>
            </w:r>
            <w:proofErr w:type="spellEnd"/>
            <w:r w:rsidRPr="00542586">
              <w:rPr>
                <w:rFonts w:asciiTheme="minorHAnsi" w:hAnsiTheme="minorHAnsi" w:cstheme="minorHAnsi"/>
              </w:rPr>
              <w:t xml:space="preserve"> can have diverse binding and enzymatic activities, an intriguing question is whether the secreted linear peptides act as extracellular signalling molecules.</w:t>
            </w:r>
            <w:r w:rsidR="001B4355">
              <w:rPr>
                <w:rFonts w:asciiTheme="minorHAnsi" w:hAnsiTheme="minorHAnsi" w:cstheme="minorHAnsi"/>
              </w:rPr>
              <w:t xml:space="preserve"> </w:t>
            </w:r>
            <w:r w:rsidRPr="00542586">
              <w:rPr>
                <w:rFonts w:asciiTheme="minorHAnsi" w:hAnsiTheme="minorHAnsi" w:cstheme="minorHAnsi"/>
              </w:rPr>
              <w:t xml:space="preserve">To delineate their regulatory networks, bacterial </w:t>
            </w:r>
            <w:proofErr w:type="spellStart"/>
            <w:r w:rsidRPr="00542586">
              <w:rPr>
                <w:rFonts w:asciiTheme="minorHAnsi" w:hAnsiTheme="minorHAnsi" w:cstheme="minorHAnsi"/>
              </w:rPr>
              <w:t>Lpp</w:t>
            </w:r>
            <w:proofErr w:type="spellEnd"/>
            <w:r w:rsidRPr="00542586">
              <w:rPr>
                <w:rFonts w:asciiTheme="minorHAnsi" w:hAnsiTheme="minorHAnsi" w:cstheme="minorHAnsi"/>
              </w:rPr>
              <w:t xml:space="preserve"> components will be analysed by an integrated -omics approach, including transcriptomics, proteomics and mass spectrometric analysis. Subsequent verification will be achieved by genetic and biochemical experiments, phenotypic </w:t>
            </w:r>
            <w:r w:rsidR="00D4196C" w:rsidRPr="00542586">
              <w:rPr>
                <w:rFonts w:asciiTheme="minorHAnsi" w:hAnsiTheme="minorHAnsi" w:cstheme="minorHAnsi"/>
              </w:rPr>
              <w:t>screening,</w:t>
            </w:r>
            <w:r w:rsidRPr="00542586">
              <w:rPr>
                <w:rFonts w:asciiTheme="minorHAnsi" w:hAnsiTheme="minorHAnsi" w:cstheme="minorHAnsi"/>
              </w:rPr>
              <w:t xml:space="preserve"> and </w:t>
            </w:r>
            <w:r w:rsidRPr="00542586">
              <w:rPr>
                <w:rFonts w:asciiTheme="minorHAnsi" w:hAnsiTheme="minorHAnsi" w:cstheme="minorHAnsi"/>
                <w:i/>
                <w:iCs/>
              </w:rPr>
              <w:t xml:space="preserve">ex vivo </w:t>
            </w:r>
            <w:r w:rsidRPr="00542586">
              <w:rPr>
                <w:rFonts w:asciiTheme="minorHAnsi" w:hAnsiTheme="minorHAnsi" w:cstheme="minorHAnsi"/>
              </w:rPr>
              <w:t xml:space="preserve">model systems. </w:t>
            </w:r>
          </w:p>
          <w:p w14:paraId="6613D65D" w14:textId="622CDE02" w:rsidR="0086321A" w:rsidRPr="00542586" w:rsidRDefault="0086321A" w:rsidP="00542586">
            <w:pPr>
              <w:spacing w:after="60"/>
              <w:jc w:val="both"/>
              <w:rPr>
                <w:rFonts w:asciiTheme="minorHAnsi" w:eastAsiaTheme="minorEastAsia" w:hAnsiTheme="minorHAnsi" w:cstheme="minorHAnsi"/>
                <w:u w:val="single"/>
                <w:lang w:val="en-US" w:eastAsia="zh-CN"/>
              </w:rPr>
            </w:pPr>
            <w:r w:rsidRPr="00542586">
              <w:rPr>
                <w:rFonts w:asciiTheme="minorHAnsi" w:hAnsiTheme="minorHAnsi" w:cstheme="minorHAnsi"/>
              </w:rPr>
              <w:t xml:space="preserve">The objectives of this PhD project are to: </w:t>
            </w:r>
          </w:p>
          <w:p w14:paraId="12CCBF8F" w14:textId="77777777" w:rsidR="004F08DF" w:rsidRPr="00542586" w:rsidRDefault="0086321A" w:rsidP="00542586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D22BBA">
              <w:rPr>
                <w:rFonts w:asciiTheme="minorHAnsi" w:hAnsiTheme="minorHAnsi" w:cstheme="minorHAnsi"/>
                <w:b/>
                <w:bCs/>
                <w:i/>
                <w:iCs/>
              </w:rPr>
              <w:t>i)</w:t>
            </w:r>
            <w:r w:rsidRPr="00542586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542586">
              <w:rPr>
                <w:rFonts w:asciiTheme="minorHAnsi" w:hAnsiTheme="minorHAnsi" w:cstheme="minorHAnsi"/>
              </w:rPr>
              <w:t xml:space="preserve">characterize the regulatory networks of </w:t>
            </w:r>
            <w:proofErr w:type="spellStart"/>
            <w:r w:rsidRPr="00542586">
              <w:rPr>
                <w:rFonts w:asciiTheme="minorHAnsi" w:hAnsiTheme="minorHAnsi" w:cstheme="minorHAnsi"/>
              </w:rPr>
              <w:t>Lpp</w:t>
            </w:r>
            <w:proofErr w:type="spellEnd"/>
            <w:r w:rsidRPr="00542586">
              <w:rPr>
                <w:rFonts w:asciiTheme="minorHAnsi" w:hAnsiTheme="minorHAnsi" w:cstheme="minorHAnsi"/>
              </w:rPr>
              <w:t xml:space="preserve"> components</w:t>
            </w:r>
          </w:p>
          <w:p w14:paraId="67853A66" w14:textId="3C5B39FF" w:rsidR="0086321A" w:rsidRPr="00542586" w:rsidRDefault="0086321A" w:rsidP="00542586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D22BBA">
              <w:rPr>
                <w:rFonts w:asciiTheme="minorHAnsi" w:hAnsiTheme="minorHAnsi" w:cstheme="minorHAnsi"/>
                <w:b/>
                <w:bCs/>
                <w:i/>
                <w:iCs/>
              </w:rPr>
              <w:t>ii)</w:t>
            </w:r>
            <w:r w:rsidRPr="00542586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542586">
              <w:rPr>
                <w:rFonts w:asciiTheme="minorHAnsi" w:hAnsiTheme="minorHAnsi" w:cstheme="minorHAnsi"/>
              </w:rPr>
              <w:t>gain a molecular understanding of their contribution to bacterial physiology and/or virulence</w:t>
            </w:r>
          </w:p>
          <w:p w14:paraId="7D1E546F" w14:textId="77777777" w:rsidR="0086321A" w:rsidRPr="00542586" w:rsidRDefault="0086321A" w:rsidP="00542586">
            <w:pPr>
              <w:spacing w:after="80"/>
              <w:jc w:val="both"/>
              <w:rPr>
                <w:rFonts w:asciiTheme="minorHAnsi" w:eastAsiaTheme="minorEastAsia" w:hAnsiTheme="minorHAnsi" w:cstheme="minorHAnsi"/>
                <w:lang w:val="en-US" w:eastAsia="zh-CN"/>
              </w:rPr>
            </w:pPr>
            <w:r w:rsidRPr="00D22BBA">
              <w:rPr>
                <w:rFonts w:asciiTheme="minorHAnsi" w:hAnsiTheme="minorHAnsi" w:cstheme="minorHAnsi"/>
                <w:b/>
                <w:bCs/>
                <w:i/>
                <w:iCs/>
              </w:rPr>
              <w:t>iii)</w:t>
            </w:r>
            <w:r w:rsidRPr="00542586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542586">
              <w:rPr>
                <w:rFonts w:asciiTheme="minorHAnsi" w:hAnsiTheme="minorHAnsi" w:cstheme="minorHAnsi"/>
              </w:rPr>
              <w:t>determine potential communication networks driven by small linear peptides</w:t>
            </w:r>
          </w:p>
          <w:p w14:paraId="789D3EB8" w14:textId="6434E287" w:rsidR="00542586" w:rsidRPr="00542586" w:rsidRDefault="0086321A" w:rsidP="1CDF3CD6">
            <w:pPr>
              <w:spacing w:after="60"/>
              <w:jc w:val="both"/>
              <w:rPr>
                <w:rFonts w:asciiTheme="minorHAnsi" w:hAnsiTheme="minorHAnsi" w:cstheme="minorBidi"/>
              </w:rPr>
            </w:pPr>
            <w:r w:rsidRPr="1CDF3CD6">
              <w:rPr>
                <w:rFonts w:asciiTheme="minorHAnsi" w:hAnsiTheme="minorHAnsi" w:cstheme="minorBidi"/>
                <w:b/>
                <w:bCs/>
                <w:u w:val="single"/>
              </w:rPr>
              <w:t>Significance:</w:t>
            </w:r>
            <w:r w:rsidRPr="1CDF3CD6">
              <w:rPr>
                <w:rFonts w:asciiTheme="minorHAnsi" w:hAnsiTheme="minorHAnsi" w:cstheme="minorBidi"/>
              </w:rPr>
              <w:t xml:space="preserve"> </w:t>
            </w:r>
            <w:r w:rsidRPr="1CDF3CD6">
              <w:rPr>
                <w:rFonts w:asciiTheme="minorHAnsi" w:hAnsiTheme="minorHAnsi" w:cstheme="minorBidi"/>
                <w:color w:val="auto"/>
              </w:rPr>
              <w:t>The project will provide the student with an excellent set of skills in microbiology and host-pathogen interaction</w:t>
            </w:r>
            <w:r w:rsidRPr="1CDF3CD6">
              <w:rPr>
                <w:rFonts w:asciiTheme="minorHAnsi" w:hAnsiTheme="minorHAnsi" w:cstheme="minorBidi"/>
              </w:rPr>
              <w:t xml:space="preserve"> including</w:t>
            </w:r>
            <w:r w:rsidRPr="1CDF3CD6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1CDF3CD6">
              <w:rPr>
                <w:rFonts w:asciiTheme="minorHAnsi" w:hAnsiTheme="minorHAnsi" w:cstheme="minorBidi"/>
              </w:rPr>
              <w:t xml:space="preserve">training in bacterial genetics, transcriptomics, proteomics, protein purification, and </w:t>
            </w:r>
            <w:r w:rsidRPr="1CDF3CD6">
              <w:rPr>
                <w:rFonts w:asciiTheme="minorHAnsi" w:hAnsiTheme="minorHAnsi" w:cstheme="minorBidi"/>
                <w:i/>
                <w:iCs/>
              </w:rPr>
              <w:t>ex vivo</w:t>
            </w:r>
            <w:r w:rsidRPr="1CDF3CD6">
              <w:rPr>
                <w:rFonts w:asciiTheme="minorHAnsi" w:hAnsiTheme="minorHAnsi" w:cstheme="minorBidi"/>
              </w:rPr>
              <w:t xml:space="preserve"> model systems.</w:t>
            </w:r>
            <w:r w:rsidRPr="1CDF3CD6">
              <w:rPr>
                <w:rFonts w:asciiTheme="minorHAnsi" w:hAnsiTheme="minorHAnsi" w:cstheme="minorBidi"/>
                <w:i/>
                <w:iCs/>
              </w:rPr>
              <w:t xml:space="preserve"> </w:t>
            </w:r>
            <w:r w:rsidRPr="1CDF3CD6">
              <w:rPr>
                <w:rFonts w:asciiTheme="minorHAnsi" w:hAnsiTheme="minorHAnsi" w:cstheme="minorBidi"/>
              </w:rPr>
              <w:t xml:space="preserve">Due to the emergence of multi-drug resistant bacteria, many antibiotics have lost their effectiveness in treating life-threatening diseases. A comprehensive understanding of bacterial communication and regulatory networks is needed for the development of new therapeutics. </w:t>
            </w:r>
            <w:bookmarkStart w:id="1" w:name="_Hlk118118075"/>
            <w:bookmarkStart w:id="2" w:name="_Hlk118117666"/>
            <w:r w:rsidRPr="1CDF3CD6">
              <w:rPr>
                <w:rFonts w:asciiTheme="minorHAnsi" w:hAnsiTheme="minorHAnsi" w:cstheme="minorBidi"/>
              </w:rPr>
              <w:t xml:space="preserve">This project </w:t>
            </w:r>
            <w:r w:rsidRPr="1CDF3CD6">
              <w:rPr>
                <w:rFonts w:asciiTheme="minorHAnsi" w:hAnsiTheme="minorHAnsi" w:cstheme="minorBidi"/>
                <w:noProof/>
              </w:rPr>
              <w:t xml:space="preserve">will </w:t>
            </w:r>
            <w:r w:rsidR="007C112A" w:rsidRPr="1CDF3CD6">
              <w:rPr>
                <w:rFonts w:asciiTheme="minorHAnsi" w:hAnsiTheme="minorHAnsi" w:cstheme="minorBidi"/>
                <w:noProof/>
              </w:rPr>
              <w:t xml:space="preserve">provide the foundation for new </w:t>
            </w:r>
            <w:r w:rsidRPr="1CDF3CD6">
              <w:rPr>
                <w:rFonts w:asciiTheme="minorHAnsi" w:hAnsiTheme="minorHAnsi" w:cstheme="minorBidi"/>
                <w:noProof/>
              </w:rPr>
              <w:t>strategies to interfere w</w:t>
            </w:r>
            <w:bookmarkEnd w:id="1"/>
            <w:r w:rsidRPr="1CDF3CD6">
              <w:rPr>
                <w:rFonts w:asciiTheme="minorHAnsi" w:hAnsiTheme="minorHAnsi" w:cstheme="minorBidi"/>
                <w:noProof/>
              </w:rPr>
              <w:t>ith bacterial signal</w:t>
            </w:r>
            <w:r w:rsidR="0008539D" w:rsidRPr="1CDF3CD6">
              <w:rPr>
                <w:rFonts w:asciiTheme="minorHAnsi" w:hAnsiTheme="minorHAnsi" w:cstheme="minorBidi"/>
                <w:noProof/>
              </w:rPr>
              <w:t>l</w:t>
            </w:r>
            <w:r w:rsidRPr="1CDF3CD6">
              <w:rPr>
                <w:rFonts w:asciiTheme="minorHAnsi" w:hAnsiTheme="minorHAnsi" w:cstheme="minorBidi"/>
                <w:noProof/>
              </w:rPr>
              <w:t xml:space="preserve">ing </w:t>
            </w:r>
            <w:bookmarkEnd w:id="2"/>
            <w:r w:rsidRPr="1CDF3CD6">
              <w:rPr>
                <w:rFonts w:asciiTheme="minorHAnsi" w:hAnsiTheme="minorHAnsi" w:cstheme="minorBidi"/>
                <w:noProof/>
              </w:rPr>
              <w:t xml:space="preserve">and regulatory networks </w:t>
            </w:r>
            <w:r w:rsidRPr="1CDF3CD6">
              <w:rPr>
                <w:rFonts w:asciiTheme="minorHAnsi" w:hAnsiTheme="minorHAnsi" w:cstheme="minorBidi"/>
              </w:rPr>
              <w:t>which can be further developed into anti</w:t>
            </w:r>
            <w:r w:rsidR="4B5FE788" w:rsidRPr="1CDF3CD6">
              <w:rPr>
                <w:rFonts w:asciiTheme="minorHAnsi" w:hAnsiTheme="minorHAnsi" w:cstheme="minorBidi"/>
              </w:rPr>
              <w:t>-</w:t>
            </w:r>
            <w:r w:rsidRPr="1CDF3CD6">
              <w:rPr>
                <w:rFonts w:asciiTheme="minorHAnsi" w:hAnsiTheme="minorHAnsi" w:cstheme="minorBidi"/>
              </w:rPr>
              <w:t xml:space="preserve">virulence therapies. </w:t>
            </w:r>
          </w:p>
          <w:p w14:paraId="294049B8" w14:textId="77777777" w:rsidR="0086321A" w:rsidRPr="00542586" w:rsidRDefault="0086321A" w:rsidP="00542586">
            <w:pPr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54258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(1) Braun and </w:t>
            </w:r>
            <w:proofErr w:type="spellStart"/>
            <w:r w:rsidRPr="00542586">
              <w:rPr>
                <w:rFonts w:asciiTheme="minorHAnsi" w:hAnsiTheme="minorHAnsi" w:cstheme="minorHAnsi"/>
                <w:sz w:val="18"/>
                <w:szCs w:val="18"/>
              </w:rPr>
              <w:t>Hantke</w:t>
            </w:r>
            <w:proofErr w:type="spellEnd"/>
            <w:r w:rsidRPr="0054258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542586">
              <w:rPr>
                <w:rFonts w:asciiTheme="minorHAnsi" w:hAnsiTheme="minorHAnsi" w:cstheme="minorHAnsi"/>
                <w:sz w:val="18"/>
                <w:szCs w:val="18"/>
              </w:rPr>
              <w:t>Subcell</w:t>
            </w:r>
            <w:proofErr w:type="spellEnd"/>
            <w:r w:rsidRPr="0054258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42586">
              <w:rPr>
                <w:rFonts w:asciiTheme="minorHAnsi" w:hAnsiTheme="minorHAnsi" w:cstheme="minorHAnsi"/>
                <w:sz w:val="18"/>
                <w:szCs w:val="18"/>
              </w:rPr>
              <w:t>Biochem</w:t>
            </w:r>
            <w:proofErr w:type="spellEnd"/>
            <w:r w:rsidRPr="00542586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542586">
              <w:rPr>
                <w:rFonts w:asciiTheme="minorHAnsi" w:eastAsiaTheme="minorEastAsia" w:hAnsiTheme="minorHAnsi" w:cstheme="minorHAnsi"/>
                <w:sz w:val="18"/>
                <w:szCs w:val="18"/>
              </w:rPr>
              <w:t>2019</w:t>
            </w:r>
            <w:r w:rsidRPr="0054258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542586">
              <w:rPr>
                <w:rFonts w:asciiTheme="minorHAnsi" w:eastAsiaTheme="minorEastAsia" w:hAnsiTheme="minorHAnsi" w:cstheme="minorHAnsi"/>
                <w:sz w:val="18"/>
                <w:szCs w:val="18"/>
              </w:rPr>
              <w:t>92:39-77</w:t>
            </w:r>
            <w:r w:rsidRPr="0054258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258F14F" w14:textId="1EE227B0" w:rsidR="0086321A" w:rsidRPr="00542586" w:rsidRDefault="0086321A" w:rsidP="00542586">
            <w:pPr>
              <w:rPr>
                <w:rFonts w:asciiTheme="minorHAnsi" w:eastAsiaTheme="minorEastAsia" w:hAnsiTheme="minorHAnsi" w:cstheme="minorHAnsi"/>
                <w:sz w:val="18"/>
                <w:szCs w:val="18"/>
                <w:lang w:val="de-DE"/>
              </w:rPr>
            </w:pPr>
            <w:r w:rsidRPr="00542586">
              <w:rPr>
                <w:rFonts w:asciiTheme="minorHAnsi" w:hAnsiTheme="minorHAnsi" w:cstheme="minorHAnsi"/>
                <w:sz w:val="18"/>
                <w:szCs w:val="18"/>
              </w:rPr>
              <w:t xml:space="preserve">(2) Dunny and </w:t>
            </w:r>
            <w:proofErr w:type="spellStart"/>
            <w:r w:rsidRPr="00542586">
              <w:rPr>
                <w:rFonts w:asciiTheme="minorHAnsi" w:hAnsiTheme="minorHAnsi" w:cstheme="minorHAnsi"/>
                <w:sz w:val="18"/>
                <w:szCs w:val="18"/>
              </w:rPr>
              <w:t>Berntsson</w:t>
            </w:r>
            <w:proofErr w:type="spellEnd"/>
            <w:r w:rsidRPr="00542586">
              <w:rPr>
                <w:rFonts w:asciiTheme="minorHAnsi" w:hAnsiTheme="minorHAnsi" w:cstheme="minorHAnsi"/>
                <w:sz w:val="18"/>
                <w:szCs w:val="18"/>
              </w:rPr>
              <w:t xml:space="preserve">, J </w:t>
            </w:r>
            <w:proofErr w:type="spellStart"/>
            <w:r w:rsidRPr="00542586">
              <w:rPr>
                <w:rFonts w:asciiTheme="minorHAnsi" w:hAnsiTheme="minorHAnsi" w:cstheme="minorHAnsi"/>
                <w:sz w:val="18"/>
                <w:szCs w:val="18"/>
              </w:rPr>
              <w:t>Bacteriol</w:t>
            </w:r>
            <w:proofErr w:type="spellEnd"/>
            <w:r w:rsidRPr="00542586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542586">
              <w:rPr>
                <w:rFonts w:asciiTheme="minorHAnsi" w:eastAsiaTheme="minorEastAsia" w:hAnsiTheme="minorHAnsi" w:cstheme="minorHAnsi"/>
                <w:sz w:val="18"/>
                <w:szCs w:val="18"/>
                <w:lang w:val="de-DE"/>
              </w:rPr>
              <w:t>2016</w:t>
            </w:r>
            <w:r w:rsidRPr="00542586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.</w:t>
            </w:r>
            <w:r w:rsidRPr="00542586">
              <w:rPr>
                <w:rFonts w:asciiTheme="minorHAnsi" w:eastAsiaTheme="minorEastAsia" w:hAnsiTheme="minorHAnsi" w:cstheme="minorHAnsi"/>
                <w:sz w:val="18"/>
                <w:szCs w:val="18"/>
                <w:lang w:val="de-DE"/>
              </w:rPr>
              <w:t xml:space="preserve">198:1556-1562. </w:t>
            </w:r>
          </w:p>
          <w:p w14:paraId="492E38E4" w14:textId="5496F2E6" w:rsidR="0086321A" w:rsidRPr="00CA4FF0" w:rsidRDefault="0086321A" w:rsidP="00542586">
            <w:pPr>
              <w:rPr>
                <w:rFonts w:ascii="Arial" w:hAnsi="Arial" w:cs="Arial"/>
                <w:noProof/>
                <w:sz w:val="20"/>
                <w:szCs w:val="20"/>
                <w:lang w:val="de-DE"/>
              </w:rPr>
            </w:pPr>
            <w:r w:rsidRPr="00542586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(3) Schilcher </w:t>
            </w:r>
            <w:r w:rsidRPr="00542586"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  <w:lang w:val="de-DE"/>
              </w:rPr>
              <w:t>et al</w:t>
            </w:r>
            <w:r w:rsidRPr="00542586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., mBio. </w:t>
            </w:r>
            <w:r w:rsidRPr="00542586">
              <w:rPr>
                <w:rFonts w:asciiTheme="minorHAnsi" w:eastAsiaTheme="minorEastAsia" w:hAnsiTheme="minorHAnsi" w:cstheme="minorHAnsi"/>
                <w:noProof/>
                <w:sz w:val="18"/>
                <w:szCs w:val="18"/>
                <w:lang w:val="de-DE"/>
              </w:rPr>
              <w:t>2020</w:t>
            </w:r>
            <w:r w:rsidRPr="00542586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.</w:t>
            </w:r>
            <w:r w:rsidRPr="00542586">
              <w:rPr>
                <w:rFonts w:asciiTheme="minorHAnsi" w:eastAsiaTheme="minorEastAsia" w:hAnsiTheme="minorHAnsi" w:cstheme="minorHAnsi"/>
                <w:noProof/>
                <w:sz w:val="18"/>
                <w:szCs w:val="18"/>
                <w:lang w:val="de-DE"/>
              </w:rPr>
              <w:t>11:e00112-20.</w:t>
            </w:r>
            <w:r w:rsidRPr="00B9704D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 xml:space="preserve"> </w:t>
            </w:r>
          </w:p>
        </w:tc>
      </w:tr>
      <w:bookmarkEnd w:id="0"/>
    </w:tbl>
    <w:p w14:paraId="1DDB4BA6" w14:textId="77777777" w:rsidR="004E3501" w:rsidRPr="0086321A" w:rsidRDefault="004E3501" w:rsidP="007C112A">
      <w:pPr>
        <w:rPr>
          <w:lang w:val="de-DE"/>
        </w:rPr>
      </w:pPr>
    </w:p>
    <w:sectPr w:rsidR="004E3501" w:rsidRPr="0086321A" w:rsidSect="00477FE3">
      <w:pgSz w:w="11906" w:h="16838"/>
      <w:pgMar w:top="1276" w:right="1135" w:bottom="709" w:left="1133" w:header="720" w:footer="88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21A"/>
    <w:rsid w:val="0008539D"/>
    <w:rsid w:val="000E4451"/>
    <w:rsid w:val="001865BC"/>
    <w:rsid w:val="001B4355"/>
    <w:rsid w:val="002847B9"/>
    <w:rsid w:val="0030108B"/>
    <w:rsid w:val="003179D8"/>
    <w:rsid w:val="00473165"/>
    <w:rsid w:val="004E3501"/>
    <w:rsid w:val="004E6F78"/>
    <w:rsid w:val="004F08DF"/>
    <w:rsid w:val="00542586"/>
    <w:rsid w:val="006B613F"/>
    <w:rsid w:val="006F2E04"/>
    <w:rsid w:val="007C112A"/>
    <w:rsid w:val="008551F6"/>
    <w:rsid w:val="0086321A"/>
    <w:rsid w:val="00A15964"/>
    <w:rsid w:val="00AB0233"/>
    <w:rsid w:val="00B66F30"/>
    <w:rsid w:val="00C61268"/>
    <w:rsid w:val="00CD651E"/>
    <w:rsid w:val="00D22BBA"/>
    <w:rsid w:val="00D4196C"/>
    <w:rsid w:val="00E26666"/>
    <w:rsid w:val="00E77AD5"/>
    <w:rsid w:val="00ED3D28"/>
    <w:rsid w:val="00F851D6"/>
    <w:rsid w:val="1CDF3CD6"/>
    <w:rsid w:val="4B5FE788"/>
    <w:rsid w:val="4C26C3C0"/>
    <w:rsid w:val="55DBE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C461A"/>
  <w15:chartTrackingRefBased/>
  <w15:docId w15:val="{37744B85-EB2E-401D-A306-2BEFF49F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21A"/>
    <w:rPr>
      <w:rFonts w:ascii="Calibri" w:eastAsia="Calibri" w:hAnsi="Calibri" w:cs="Calibri"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21A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321A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969C4A9A0BC46AE83277D8D536E76" ma:contentTypeVersion="4" ma:contentTypeDescription="Create a new document." ma:contentTypeScope="" ma:versionID="975ecf6f64cda266e9f076e4187e8a28">
  <xsd:schema xmlns:xsd="http://www.w3.org/2001/XMLSchema" xmlns:xs="http://www.w3.org/2001/XMLSchema" xmlns:p="http://schemas.microsoft.com/office/2006/metadata/properties" xmlns:ns2="b42c51a1-7bb1-470c-96c1-d1b7d2ec83d0" xmlns:ns3="bf033fbc-1947-4f11-bd49-487848004ae5" targetNamespace="http://schemas.microsoft.com/office/2006/metadata/properties" ma:root="true" ma:fieldsID="0419f1783e087bebbb5a46896498954b" ns2:_="" ns3:_="">
    <xsd:import namespace="b42c51a1-7bb1-470c-96c1-d1b7d2ec83d0"/>
    <xsd:import namespace="bf033fbc-1947-4f11-bd49-487848004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c51a1-7bb1-470c-96c1-d1b7d2ec8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33fbc-1947-4f11-bd49-487848004a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BE2E93-B22C-412B-86E1-6C5F22755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c51a1-7bb1-470c-96c1-d1b7d2ec83d0"/>
    <ds:schemaRef ds:uri="bf033fbc-1947-4f11-bd49-487848004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CD60AE-480E-4090-B427-2E1E4909C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8CD591-9A3E-4A9F-AB58-D883615149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White, Karen L.</cp:lastModifiedBy>
  <cp:revision>4</cp:revision>
  <dcterms:created xsi:type="dcterms:W3CDTF">2022-11-20T14:07:00Z</dcterms:created>
  <dcterms:modified xsi:type="dcterms:W3CDTF">2022-11-21T11:58:00Z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0x010100DC7969C4A9A0BC46AE83277D8D536E76</vt:lpwstr>
  </property>
</Properties>
</file>