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FE1E" w14:textId="35711B99" w:rsidR="006F25A8" w:rsidRDefault="006F25A8" w:rsidP="00437B57">
      <w:pPr>
        <w:spacing w:after="0" w:line="240" w:lineRule="auto"/>
        <w:rPr>
          <w:color w:val="000000" w:themeColor="text1"/>
        </w:rPr>
      </w:pPr>
    </w:p>
    <w:p w14:paraId="282BCB02" w14:textId="77777777" w:rsidR="00B755E3" w:rsidRDefault="00B755E3" w:rsidP="00B755E3">
      <w:pPr>
        <w:spacing w:line="240" w:lineRule="auto"/>
        <w:rPr>
          <w:rFonts w:cs="Arial"/>
          <w:b/>
        </w:rPr>
      </w:pPr>
      <w:r>
        <w:rPr>
          <w:rFonts w:cs="Arial"/>
          <w:b/>
        </w:rPr>
        <w:t xml:space="preserve">University of Leicester </w:t>
      </w:r>
    </w:p>
    <w:p w14:paraId="3317D5D5" w14:textId="77777777" w:rsidR="00B755E3" w:rsidRDefault="00B755E3" w:rsidP="00B755E3">
      <w:pPr>
        <w:spacing w:line="240" w:lineRule="auto"/>
        <w:rPr>
          <w:rFonts w:ascii="Arial" w:eastAsiaTheme="minorHAnsi" w:hAnsi="Arial" w:cs="Arial"/>
          <w:b/>
          <w:color w:val="auto"/>
        </w:rPr>
      </w:pPr>
      <w:r>
        <w:rPr>
          <w:rFonts w:cs="Arial"/>
          <w:b/>
        </w:rPr>
        <w:t xml:space="preserve">Future 50  PhD Scholarship </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49C4A410" w:rsidR="00FA65DC" w:rsidRPr="00682A77" w:rsidRDefault="00CB15F5" w:rsidP="00745670">
            <w:r>
              <w:t>CVS Watson</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3005"/>
        <w:gridCol w:w="1531"/>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32D381F0" w:rsidR="00FA65DC" w:rsidRPr="00066C81" w:rsidRDefault="00682A77" w:rsidP="00745670">
            <w:r>
              <w:t>Dr Emma Watson</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492B24C1" w:rsidR="00FA65DC" w:rsidRPr="00066C81" w:rsidRDefault="009935BC" w:rsidP="00745670">
            <w:r>
              <w:t>Cardiovascular Sciences</w:t>
            </w:r>
          </w:p>
        </w:tc>
      </w:tr>
      <w:tr w:rsidR="00FA65DC" w:rsidRPr="00066C81" w14:paraId="3C049093" w14:textId="77777777" w:rsidTr="00B755E3">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3005" w:type="dxa"/>
          </w:tcPr>
          <w:p w14:paraId="71E2C43C" w14:textId="07FE0BE3" w:rsidR="00FA65DC" w:rsidRPr="00066C81" w:rsidRDefault="009935BC" w:rsidP="00745670">
            <w:hyperlink r:id="rId11" w:history="1">
              <w:r w:rsidR="00B755E3" w:rsidRPr="00E32CBC">
                <w:rPr>
                  <w:rStyle w:val="Hyperlink"/>
                </w:rPr>
                <w:t>Emma.watson@leicester.ac.uk</w:t>
              </w:r>
            </w:hyperlink>
            <w:r w:rsidR="00B755E3">
              <w:t xml:space="preserve"> </w:t>
            </w:r>
          </w:p>
        </w:tc>
        <w:tc>
          <w:tcPr>
            <w:tcW w:w="1531"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3DDB1774" w:rsidR="00FA65DC" w:rsidRPr="00066C81" w:rsidRDefault="00682A77" w:rsidP="00745670">
            <w:r>
              <w:t>252 5033</w:t>
            </w:r>
          </w:p>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0989AC41" w:rsidR="00FA65DC" w:rsidRDefault="00682A77" w:rsidP="00745670">
            <w:r>
              <w:t>Prof James Burton</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170F647F" w:rsidR="00FA65DC" w:rsidRDefault="00682A77" w:rsidP="00745670">
            <w:r>
              <w:t>CVS</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597E28A1" w:rsidR="00FA65DC" w:rsidRDefault="00682A77" w:rsidP="00745670">
            <w:r>
              <w:t>Jb343@leicester.ac.uk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ADD2A4C" w:rsidR="00FA65DC" w:rsidRDefault="00682A77" w:rsidP="00745670">
            <w:r>
              <w:t>252 3061</w:t>
            </w:r>
          </w:p>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161EA8EE">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0C749CE1" w:rsidR="00FA65DC" w:rsidRDefault="00682A77" w:rsidP="00745670">
            <w:r w:rsidRPr="00682A77">
              <w:rPr>
                <w:sz w:val="24"/>
                <w:szCs w:val="24"/>
              </w:rPr>
              <w:t>The efficacy of neuromuscular stimulation to be used as a treatment for sarcopenia in patients on maintenance haemodialysis</w:t>
            </w:r>
          </w:p>
        </w:tc>
      </w:tr>
      <w:tr w:rsidR="00FA65DC" w14:paraId="2B452CC2" w14:textId="77777777" w:rsidTr="161EA8EE">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4A332386" w:rsidR="00FA65DC" w:rsidRDefault="00682A77" w:rsidP="00745670">
            <w:r w:rsidRPr="00682A77">
              <w:rPr>
                <w:sz w:val="24"/>
                <w:szCs w:val="24"/>
              </w:rPr>
              <w:t>Translational research, understand mechanisms to develop a therapy</w:t>
            </w:r>
            <w:r w:rsidR="008518F0">
              <w:rPr>
                <w:sz w:val="24"/>
                <w:szCs w:val="24"/>
              </w:rPr>
              <w:t xml:space="preserve"> for a hard to reach group of patients</w:t>
            </w:r>
          </w:p>
        </w:tc>
      </w:tr>
      <w:tr w:rsidR="00FA65DC" w14:paraId="55CCBDBC" w14:textId="77777777" w:rsidTr="161EA8EE">
        <w:tc>
          <w:tcPr>
            <w:tcW w:w="1980" w:type="dxa"/>
            <w:vMerge/>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795AE614" w:rsidR="00FA65DC" w:rsidRDefault="008518F0" w:rsidP="00745670">
            <w:r>
              <w:t>Working within the new developing centre for sarcopenia and muscle health</w:t>
            </w:r>
          </w:p>
        </w:tc>
      </w:tr>
      <w:tr w:rsidR="00FA65DC" w14:paraId="691A2B0B" w14:textId="77777777" w:rsidTr="161EA8EE">
        <w:tc>
          <w:tcPr>
            <w:tcW w:w="1980" w:type="dxa"/>
            <w:vMerge/>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1F803287" w:rsidR="00FA65DC" w:rsidRDefault="008518F0" w:rsidP="00745670">
            <w:r>
              <w:t>Project has the potential to have direct patient benefit</w:t>
            </w:r>
          </w:p>
        </w:tc>
      </w:tr>
      <w:tr w:rsidR="00FA65DC" w14:paraId="045BF4FC" w14:textId="77777777" w:rsidTr="161EA8EE">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161EA8EE">
        <w:tc>
          <w:tcPr>
            <w:tcW w:w="9016" w:type="dxa"/>
            <w:gridSpan w:val="3"/>
          </w:tcPr>
          <w:p w14:paraId="58AD1522" w14:textId="4BF92BD4" w:rsidR="00027327" w:rsidRDefault="00027327" w:rsidP="161EA8EE">
            <w:pPr>
              <w:pStyle w:val="ListParagraph"/>
              <w:tabs>
                <w:tab w:val="left" w:pos="426"/>
              </w:tabs>
              <w:ind w:left="0" w:firstLine="0"/>
              <w:jc w:val="both"/>
              <w:rPr>
                <w:rFonts w:ascii="Arial" w:eastAsia="Arial" w:hAnsi="Arial" w:cs="Arial"/>
              </w:rPr>
            </w:pPr>
            <w:r w:rsidRPr="161EA8EE">
              <w:rPr>
                <w:rFonts w:ascii="Arial" w:eastAsia="Arial" w:hAnsi="Arial" w:cs="Arial"/>
                <w:b/>
                <w:bCs/>
              </w:rPr>
              <w:t>Research question:</w:t>
            </w:r>
            <w:r w:rsidRPr="161EA8EE">
              <w:rPr>
                <w:rFonts w:ascii="Arial" w:eastAsia="Arial" w:hAnsi="Arial" w:cs="Arial"/>
              </w:rPr>
              <w:t xml:space="preserve"> Does neuromuscular electrical stimulation</w:t>
            </w:r>
            <w:r w:rsidR="00B655A2" w:rsidRPr="161EA8EE">
              <w:rPr>
                <w:rFonts w:ascii="Arial" w:eastAsia="Arial" w:hAnsi="Arial" w:cs="Arial"/>
              </w:rPr>
              <w:t xml:space="preserve"> (NMES)</w:t>
            </w:r>
            <w:r w:rsidRPr="161EA8EE">
              <w:rPr>
                <w:rFonts w:ascii="Arial" w:eastAsia="Arial" w:hAnsi="Arial" w:cs="Arial"/>
              </w:rPr>
              <w:t xml:space="preserve"> result in an increase in muscle mass in patients on maintenance haemodialysis?</w:t>
            </w:r>
          </w:p>
          <w:p w14:paraId="688BF824" w14:textId="5CBB7A6F" w:rsidR="00027327" w:rsidRDefault="00027327" w:rsidP="161EA8EE">
            <w:pPr>
              <w:pStyle w:val="ListParagraph"/>
              <w:tabs>
                <w:tab w:val="left" w:pos="426"/>
              </w:tabs>
              <w:ind w:left="0" w:firstLine="0"/>
              <w:jc w:val="both"/>
              <w:rPr>
                <w:rFonts w:ascii="Arial" w:eastAsia="Arial" w:hAnsi="Arial" w:cs="Arial"/>
              </w:rPr>
            </w:pPr>
          </w:p>
          <w:p w14:paraId="51106B4F" w14:textId="6227D86E" w:rsidR="00DC3F66" w:rsidRPr="00826DD2" w:rsidRDefault="00027327" w:rsidP="161EA8EE">
            <w:pPr>
              <w:jc w:val="both"/>
              <w:rPr>
                <w:rFonts w:ascii="Arial" w:eastAsia="Arial" w:hAnsi="Arial" w:cs="Arial"/>
              </w:rPr>
            </w:pPr>
            <w:r w:rsidRPr="161EA8EE">
              <w:rPr>
                <w:rFonts w:ascii="Arial" w:eastAsia="Arial" w:hAnsi="Arial" w:cs="Arial"/>
                <w:b/>
                <w:bCs/>
              </w:rPr>
              <w:t xml:space="preserve">Background: </w:t>
            </w:r>
            <w:r w:rsidRPr="161EA8EE">
              <w:rPr>
                <w:rFonts w:ascii="Arial" w:eastAsia="Arial" w:hAnsi="Arial" w:cs="Arial"/>
              </w:rPr>
              <w:t>Chronic Kidney Disease (CKD) affect</w:t>
            </w:r>
            <w:r w:rsidR="00DC3F66" w:rsidRPr="161EA8EE">
              <w:rPr>
                <w:rFonts w:ascii="Arial" w:eastAsia="Arial" w:hAnsi="Arial" w:cs="Arial"/>
              </w:rPr>
              <w:t>s</w:t>
            </w:r>
            <w:r w:rsidRPr="161EA8EE">
              <w:rPr>
                <w:rFonts w:ascii="Arial" w:eastAsia="Arial" w:hAnsi="Arial" w:cs="Arial"/>
              </w:rPr>
              <w:t xml:space="preserve"> one in eight people worldwide</w:t>
            </w:r>
            <w:r w:rsidR="00821CB5" w:rsidRPr="161EA8EE">
              <w:rPr>
                <w:rFonts w:ascii="Arial" w:eastAsia="Arial" w:hAnsi="Arial" w:cs="Arial"/>
              </w:rPr>
              <w:t>,</w:t>
            </w:r>
            <w:r w:rsidR="00DC3F66" w:rsidRPr="161EA8EE">
              <w:rPr>
                <w:rFonts w:ascii="Arial" w:eastAsia="Arial" w:hAnsi="Arial" w:cs="Arial"/>
              </w:rPr>
              <w:t xml:space="preserve"> </w:t>
            </w:r>
            <w:r w:rsidR="00821CB5" w:rsidRPr="161EA8EE">
              <w:rPr>
                <w:rFonts w:ascii="Arial" w:eastAsia="Arial" w:hAnsi="Arial" w:cs="Arial"/>
              </w:rPr>
              <w:t>with</w:t>
            </w:r>
            <w:r w:rsidR="00DC3F66" w:rsidRPr="161EA8EE">
              <w:rPr>
                <w:rFonts w:ascii="Arial" w:eastAsia="Arial" w:hAnsi="Arial" w:cs="Arial"/>
              </w:rPr>
              <w:t xml:space="preserve"> </w:t>
            </w:r>
            <w:r w:rsidRPr="161EA8EE">
              <w:rPr>
                <w:rFonts w:ascii="Arial" w:eastAsia="Arial" w:hAnsi="Arial" w:cs="Arial"/>
              </w:rPr>
              <w:t xml:space="preserve">no cure. When kidney function falls to the point it can no longer sustain life, patients require kidney replacement therapy, i.e. haemodialysis. Whist lifesaving, haemodialysis has a dramatic effect upon patient’s quality of life, both physically and psychologically. Functional status can fall by up to 61% in the first three months after starting dialysis, and by as much as 87% after one year. Muscle wasting is highly prevalent and a key component in this functional decline. </w:t>
            </w:r>
            <w:r w:rsidR="00DC3F66" w:rsidRPr="161EA8EE">
              <w:rPr>
                <w:rFonts w:ascii="Arial" w:eastAsia="Arial" w:hAnsi="Arial" w:cs="Arial"/>
              </w:rPr>
              <w:t>Importantly</w:t>
            </w:r>
            <w:r w:rsidRPr="161EA8EE">
              <w:rPr>
                <w:rFonts w:ascii="Arial" w:eastAsia="Arial" w:hAnsi="Arial" w:cs="Arial"/>
              </w:rPr>
              <w:t xml:space="preserve">, skeletal muscle is highly adaptive and easily remodelled through interventions such as exercise, thus muscle loss observed in these patients is likely to be reversible or preventable making it an attractive target for therapy.  </w:t>
            </w:r>
            <w:r w:rsidR="00821CB5" w:rsidRPr="161EA8EE">
              <w:rPr>
                <w:rFonts w:ascii="Arial" w:eastAsia="Arial" w:hAnsi="Arial" w:cs="Arial"/>
              </w:rPr>
              <w:t xml:space="preserve">Whilst exercise is proven to be effective, </w:t>
            </w:r>
            <w:r w:rsidRPr="161EA8EE">
              <w:rPr>
                <w:rFonts w:ascii="Arial" w:eastAsia="Arial" w:hAnsi="Arial" w:cs="Arial"/>
              </w:rPr>
              <w:t>not all patients can, or want to exercise and therefore an alternative strategy to deliver the same benefits is required.</w:t>
            </w:r>
            <w:r w:rsidR="00DC3F66" w:rsidRPr="161EA8EE">
              <w:rPr>
                <w:rFonts w:ascii="Arial" w:eastAsia="Arial" w:hAnsi="Arial" w:cs="Arial"/>
              </w:rPr>
              <w:t xml:space="preserve"> Research has shown that NMES is capable of improving physical function in </w:t>
            </w:r>
            <w:r w:rsidR="00B655A2" w:rsidRPr="161EA8EE">
              <w:rPr>
                <w:rFonts w:ascii="Arial" w:eastAsia="Arial" w:hAnsi="Arial" w:cs="Arial"/>
              </w:rPr>
              <w:t xml:space="preserve">haemodialysis </w:t>
            </w:r>
            <w:r w:rsidR="00DC3F66" w:rsidRPr="161EA8EE">
              <w:rPr>
                <w:rFonts w:ascii="Arial" w:eastAsia="Arial" w:hAnsi="Arial" w:cs="Arial"/>
              </w:rPr>
              <w:t>patients and appears to be an alternative to exercise. However, its ability to improve muscle mass, and therefore act as treatment for sarcopenia is unknown.</w:t>
            </w:r>
          </w:p>
          <w:p w14:paraId="2A4083F7" w14:textId="7DF19587" w:rsidR="00027327" w:rsidRDefault="00027327" w:rsidP="161EA8EE">
            <w:pPr>
              <w:jc w:val="both"/>
              <w:rPr>
                <w:rFonts w:ascii="Arial" w:eastAsia="Arial" w:hAnsi="Arial" w:cs="Arial"/>
              </w:rPr>
            </w:pPr>
          </w:p>
          <w:p w14:paraId="5F66062D" w14:textId="6807E248" w:rsidR="00DC3F66" w:rsidRDefault="00DC3F66" w:rsidP="161EA8EE">
            <w:pPr>
              <w:jc w:val="both"/>
              <w:rPr>
                <w:rFonts w:ascii="Arial" w:eastAsia="Arial" w:hAnsi="Arial" w:cs="Arial"/>
              </w:rPr>
            </w:pPr>
          </w:p>
          <w:p w14:paraId="53E87843" w14:textId="2E2A0E7E" w:rsidR="00DC3F66" w:rsidRPr="00826DD2" w:rsidRDefault="00DC3F66" w:rsidP="161EA8EE">
            <w:pPr>
              <w:jc w:val="both"/>
              <w:rPr>
                <w:rFonts w:ascii="Arial" w:eastAsia="Arial" w:hAnsi="Arial" w:cs="Arial"/>
              </w:rPr>
            </w:pPr>
            <w:r w:rsidRPr="161EA8EE">
              <w:rPr>
                <w:rFonts w:ascii="Arial" w:eastAsia="Arial" w:hAnsi="Arial" w:cs="Arial"/>
              </w:rPr>
              <w:t>In this project the student will determine the efficacy of 8-weeks of NMES to increase skeletal muscle mass in</w:t>
            </w:r>
            <w:r w:rsidR="00B655A2" w:rsidRPr="161EA8EE">
              <w:rPr>
                <w:rFonts w:ascii="Arial" w:eastAsia="Arial" w:hAnsi="Arial" w:cs="Arial"/>
              </w:rPr>
              <w:t xml:space="preserve"> haemodialysis</w:t>
            </w:r>
            <w:r w:rsidRPr="161EA8EE">
              <w:rPr>
                <w:rFonts w:ascii="Arial" w:eastAsia="Arial" w:hAnsi="Arial" w:cs="Arial"/>
              </w:rPr>
              <w:t xml:space="preserve"> patients. This will be supplemented with a mechanistic su</w:t>
            </w:r>
            <w:r w:rsidR="00B655A2" w:rsidRPr="161EA8EE">
              <w:rPr>
                <w:rFonts w:ascii="Arial" w:eastAsia="Arial" w:hAnsi="Arial" w:cs="Arial"/>
              </w:rPr>
              <w:t>b-</w:t>
            </w:r>
            <w:r w:rsidRPr="161EA8EE">
              <w:rPr>
                <w:rFonts w:ascii="Arial" w:eastAsia="Arial" w:hAnsi="Arial" w:cs="Arial"/>
              </w:rPr>
              <w:t xml:space="preserve">study in which </w:t>
            </w:r>
            <w:r w:rsidR="00821CB5" w:rsidRPr="161EA8EE">
              <w:rPr>
                <w:rFonts w:ascii="Arial" w:eastAsia="Arial" w:hAnsi="Arial" w:cs="Arial"/>
              </w:rPr>
              <w:t>the student</w:t>
            </w:r>
            <w:r w:rsidRPr="161EA8EE">
              <w:rPr>
                <w:rFonts w:ascii="Arial" w:eastAsia="Arial" w:hAnsi="Arial" w:cs="Arial"/>
              </w:rPr>
              <w:t xml:space="preserve"> will investigate the </w:t>
            </w:r>
            <w:r w:rsidR="00821CB5" w:rsidRPr="161EA8EE">
              <w:rPr>
                <w:rFonts w:ascii="Arial" w:eastAsia="Arial" w:hAnsi="Arial" w:cs="Arial"/>
              </w:rPr>
              <w:t xml:space="preserve">molecular </w:t>
            </w:r>
            <w:r w:rsidRPr="161EA8EE">
              <w:rPr>
                <w:rFonts w:ascii="Arial" w:eastAsia="Arial" w:hAnsi="Arial" w:cs="Arial"/>
              </w:rPr>
              <w:t xml:space="preserve">effect of NMES </w:t>
            </w:r>
            <w:r w:rsidR="00B655A2" w:rsidRPr="161EA8EE">
              <w:rPr>
                <w:rFonts w:ascii="Arial" w:eastAsia="Arial" w:hAnsi="Arial" w:cs="Arial"/>
              </w:rPr>
              <w:t>within</w:t>
            </w:r>
            <w:r w:rsidRPr="161EA8EE">
              <w:rPr>
                <w:rFonts w:ascii="Arial" w:eastAsia="Arial" w:hAnsi="Arial" w:cs="Arial"/>
              </w:rPr>
              <w:t xml:space="preserve"> skeletal muscle.</w:t>
            </w:r>
          </w:p>
          <w:p w14:paraId="1180E09E" w14:textId="185A7BCF" w:rsidR="00DC3F66" w:rsidRDefault="00DC3F66" w:rsidP="161EA8EE">
            <w:pPr>
              <w:jc w:val="both"/>
              <w:rPr>
                <w:rFonts w:ascii="Arial" w:eastAsia="Arial" w:hAnsi="Arial" w:cs="Arial"/>
              </w:rPr>
            </w:pPr>
          </w:p>
          <w:p w14:paraId="4C82302E" w14:textId="77777777" w:rsidR="00DC3F66" w:rsidRDefault="00DC3F66" w:rsidP="161EA8EE">
            <w:pPr>
              <w:jc w:val="both"/>
              <w:rPr>
                <w:rFonts w:ascii="Arial" w:eastAsia="Arial" w:hAnsi="Arial" w:cs="Arial"/>
              </w:rPr>
            </w:pPr>
          </w:p>
          <w:p w14:paraId="76B48D2B" w14:textId="040CD5DE" w:rsidR="00DC3F66" w:rsidRDefault="00DC3F66" w:rsidP="161EA8EE">
            <w:pPr>
              <w:pStyle w:val="ListParagraph"/>
              <w:tabs>
                <w:tab w:val="left" w:pos="426"/>
              </w:tabs>
              <w:ind w:left="0" w:firstLine="0"/>
              <w:jc w:val="both"/>
              <w:rPr>
                <w:rFonts w:ascii="Arial" w:eastAsia="Arial" w:hAnsi="Arial" w:cs="Arial"/>
              </w:rPr>
            </w:pPr>
            <w:r w:rsidRPr="161EA8EE">
              <w:rPr>
                <w:rFonts w:ascii="Arial" w:eastAsia="Arial" w:hAnsi="Arial" w:cs="Arial"/>
                <w:b/>
                <w:bCs/>
              </w:rPr>
              <w:t>Aims:</w:t>
            </w:r>
            <w:r w:rsidRPr="161EA8EE">
              <w:rPr>
                <w:rFonts w:ascii="Arial" w:eastAsia="Arial" w:hAnsi="Arial" w:cs="Arial"/>
              </w:rPr>
              <w:t xml:space="preserve"> To determine the effect of </w:t>
            </w:r>
            <w:r w:rsidR="00B655A2" w:rsidRPr="161EA8EE">
              <w:rPr>
                <w:rFonts w:ascii="Arial" w:eastAsia="Arial" w:hAnsi="Arial" w:cs="Arial"/>
              </w:rPr>
              <w:t>NMES</w:t>
            </w:r>
            <w:r w:rsidRPr="161EA8EE">
              <w:rPr>
                <w:rFonts w:ascii="Arial" w:eastAsia="Arial" w:hAnsi="Arial" w:cs="Arial"/>
              </w:rPr>
              <w:t xml:space="preserve"> on muscle mass at the whole body (MRI) and molecular level (skeletal muscle biopsies)</w:t>
            </w:r>
          </w:p>
          <w:p w14:paraId="7B75681B" w14:textId="77777777" w:rsidR="00B655A2" w:rsidRPr="00826DD2" w:rsidRDefault="00B655A2" w:rsidP="161EA8EE">
            <w:pPr>
              <w:pStyle w:val="ListParagraph"/>
              <w:tabs>
                <w:tab w:val="left" w:pos="426"/>
              </w:tabs>
              <w:ind w:left="0" w:firstLine="0"/>
              <w:jc w:val="both"/>
              <w:rPr>
                <w:rFonts w:ascii="Arial" w:eastAsia="Arial" w:hAnsi="Arial" w:cs="Arial"/>
              </w:rPr>
            </w:pPr>
          </w:p>
          <w:p w14:paraId="4EB66F51" w14:textId="77777777" w:rsidR="00DC3F66" w:rsidRDefault="00DC3F66" w:rsidP="161EA8EE">
            <w:pPr>
              <w:pStyle w:val="ListParagraph"/>
              <w:tabs>
                <w:tab w:val="left" w:pos="426"/>
              </w:tabs>
              <w:ind w:left="0" w:firstLine="21"/>
              <w:jc w:val="both"/>
              <w:rPr>
                <w:rFonts w:ascii="Arial" w:eastAsia="Arial" w:hAnsi="Arial" w:cs="Arial"/>
                <w:b/>
                <w:bCs/>
              </w:rPr>
            </w:pPr>
            <w:r w:rsidRPr="161EA8EE">
              <w:rPr>
                <w:rFonts w:ascii="Arial" w:eastAsia="Arial" w:hAnsi="Arial" w:cs="Arial"/>
                <w:b/>
                <w:bCs/>
              </w:rPr>
              <w:t xml:space="preserve">Clinical Objectives: </w:t>
            </w:r>
          </w:p>
          <w:p w14:paraId="07989A7E" w14:textId="5DC24E66" w:rsidR="00DC3F66" w:rsidRPr="00826DD2" w:rsidRDefault="00DC3F66" w:rsidP="161EA8EE">
            <w:pPr>
              <w:pStyle w:val="ListParagraph"/>
              <w:numPr>
                <w:ilvl w:val="0"/>
                <w:numId w:val="16"/>
              </w:numPr>
              <w:tabs>
                <w:tab w:val="left" w:pos="426"/>
              </w:tabs>
              <w:jc w:val="both"/>
              <w:rPr>
                <w:rFonts w:ascii="Arial" w:eastAsia="Arial" w:hAnsi="Arial" w:cs="Arial"/>
              </w:rPr>
            </w:pPr>
            <w:r w:rsidRPr="161EA8EE">
              <w:rPr>
                <w:rFonts w:ascii="Arial" w:eastAsia="Arial" w:hAnsi="Arial" w:cs="Arial"/>
              </w:rPr>
              <w:lastRenderedPageBreak/>
              <w:t>Determine the effect of 8-weeks of NMES on quadriceps volume by MRI compared to usual care.</w:t>
            </w:r>
          </w:p>
          <w:p w14:paraId="046B8E99" w14:textId="02468902" w:rsidR="00DC3F66" w:rsidRPr="00826DD2" w:rsidRDefault="00DC3F66" w:rsidP="161EA8EE">
            <w:pPr>
              <w:pStyle w:val="ListParagraph"/>
              <w:widowControl/>
              <w:numPr>
                <w:ilvl w:val="0"/>
                <w:numId w:val="16"/>
              </w:numPr>
              <w:tabs>
                <w:tab w:val="left" w:pos="426"/>
              </w:tabs>
              <w:autoSpaceDE/>
              <w:autoSpaceDN/>
              <w:contextualSpacing/>
              <w:jc w:val="both"/>
              <w:rPr>
                <w:rFonts w:ascii="Arial" w:eastAsia="Arial" w:hAnsi="Arial" w:cs="Arial"/>
              </w:rPr>
            </w:pPr>
            <w:r w:rsidRPr="161EA8EE">
              <w:rPr>
                <w:rFonts w:ascii="Arial" w:eastAsia="Arial" w:hAnsi="Arial" w:cs="Arial"/>
              </w:rPr>
              <w:t>Determine the effect of 8-weeks of NMES on physical function and quality of life compared to usual care</w:t>
            </w:r>
          </w:p>
          <w:p w14:paraId="2D4A2740" w14:textId="77777777" w:rsidR="00DC3F66" w:rsidRPr="00826DD2" w:rsidRDefault="00DC3F66" w:rsidP="161EA8EE">
            <w:pPr>
              <w:pStyle w:val="ListParagraph"/>
              <w:tabs>
                <w:tab w:val="left" w:pos="426"/>
              </w:tabs>
              <w:ind w:left="0" w:firstLine="0"/>
              <w:jc w:val="both"/>
              <w:rPr>
                <w:rFonts w:ascii="Arial" w:eastAsia="Arial" w:hAnsi="Arial" w:cs="Arial"/>
                <w:b/>
                <w:bCs/>
              </w:rPr>
            </w:pPr>
            <w:r w:rsidRPr="161EA8EE">
              <w:rPr>
                <w:rFonts w:ascii="Arial" w:eastAsia="Arial" w:hAnsi="Arial" w:cs="Arial"/>
                <w:b/>
                <w:bCs/>
              </w:rPr>
              <w:t>Mechanistic Objectives:</w:t>
            </w:r>
          </w:p>
          <w:p w14:paraId="7954BF5E" w14:textId="2DA6E148" w:rsidR="00DC3F66" w:rsidRPr="00DC3F66" w:rsidRDefault="00DC3F66" w:rsidP="161EA8EE">
            <w:pPr>
              <w:pStyle w:val="ListParagraph"/>
              <w:widowControl/>
              <w:numPr>
                <w:ilvl w:val="0"/>
                <w:numId w:val="17"/>
              </w:numPr>
              <w:tabs>
                <w:tab w:val="left" w:pos="426"/>
              </w:tabs>
              <w:autoSpaceDE/>
              <w:autoSpaceDN/>
              <w:contextualSpacing/>
              <w:jc w:val="both"/>
              <w:rPr>
                <w:rFonts w:ascii="Arial" w:eastAsia="Arial" w:hAnsi="Arial" w:cs="Arial"/>
              </w:rPr>
            </w:pPr>
            <w:r w:rsidRPr="161EA8EE">
              <w:rPr>
                <w:rFonts w:ascii="Arial" w:eastAsia="Arial" w:hAnsi="Arial" w:cs="Arial"/>
              </w:rPr>
              <w:t>Characterise the effect of NMES upon fibre size</w:t>
            </w:r>
          </w:p>
          <w:p w14:paraId="10D08769" w14:textId="761D6184" w:rsidR="00DC3F66" w:rsidRPr="00826DD2" w:rsidRDefault="00DC3F66" w:rsidP="161EA8EE">
            <w:pPr>
              <w:pStyle w:val="ListParagraph"/>
              <w:widowControl/>
              <w:numPr>
                <w:ilvl w:val="0"/>
                <w:numId w:val="17"/>
              </w:numPr>
              <w:tabs>
                <w:tab w:val="left" w:pos="426"/>
              </w:tabs>
              <w:autoSpaceDE/>
              <w:autoSpaceDN/>
              <w:contextualSpacing/>
              <w:jc w:val="both"/>
              <w:rPr>
                <w:rFonts w:ascii="Arial" w:eastAsia="Arial" w:hAnsi="Arial" w:cs="Arial"/>
              </w:rPr>
            </w:pPr>
            <w:r w:rsidRPr="161EA8EE">
              <w:rPr>
                <w:rFonts w:ascii="Arial" w:eastAsia="Arial" w:hAnsi="Arial" w:cs="Arial"/>
              </w:rPr>
              <w:t>Characterise the metabolic response to NMES</w:t>
            </w:r>
          </w:p>
          <w:p w14:paraId="06C40F91" w14:textId="77777777" w:rsidR="00027327" w:rsidRDefault="00027327" w:rsidP="161EA8EE">
            <w:pPr>
              <w:rPr>
                <w:rFonts w:ascii="Arial" w:eastAsia="Arial" w:hAnsi="Arial" w:cs="Arial"/>
                <w:b/>
                <w:bCs/>
              </w:rPr>
            </w:pPr>
          </w:p>
          <w:p w14:paraId="557A85D1" w14:textId="5A2D1F9C" w:rsidR="00FA65DC" w:rsidRPr="00027327" w:rsidRDefault="0088477A" w:rsidP="161EA8EE">
            <w:pPr>
              <w:rPr>
                <w:rFonts w:ascii="Arial" w:eastAsia="Arial" w:hAnsi="Arial" w:cs="Arial"/>
              </w:rPr>
            </w:pPr>
            <w:r w:rsidRPr="161EA8EE">
              <w:rPr>
                <w:rFonts w:ascii="Arial" w:eastAsia="Arial" w:hAnsi="Arial" w:cs="Arial"/>
              </w:rPr>
              <w:t xml:space="preserve">This project will sit within the developing centre for sarcopenia and muscle research. </w:t>
            </w:r>
          </w:p>
          <w:p w14:paraId="586C81B5" w14:textId="77777777" w:rsidR="00FA65DC" w:rsidRDefault="00FA65DC" w:rsidP="00745670">
            <w:pPr>
              <w:rPr>
                <w:b/>
              </w:rPr>
            </w:pPr>
          </w:p>
          <w:p w14:paraId="55B8F457" w14:textId="77777777" w:rsidR="00FA65DC" w:rsidRDefault="00FA65DC" w:rsidP="00745670">
            <w:pPr>
              <w:rPr>
                <w:b/>
              </w:rPr>
            </w:pPr>
          </w:p>
          <w:p w14:paraId="3382838D" w14:textId="77777777" w:rsidR="00FA65DC" w:rsidRDefault="00FA65DC" w:rsidP="00745670">
            <w:pPr>
              <w:rPr>
                <w:b/>
              </w:rPr>
            </w:pPr>
          </w:p>
          <w:p w14:paraId="30FD78D0" w14:textId="77777777" w:rsidR="00FA65DC" w:rsidRDefault="00FA65DC" w:rsidP="00745670">
            <w:pPr>
              <w:rPr>
                <w:b/>
              </w:rPr>
            </w:pPr>
          </w:p>
          <w:p w14:paraId="07108D12" w14:textId="77777777" w:rsidR="00FA65DC" w:rsidRDefault="00FA65DC" w:rsidP="00745670">
            <w:pPr>
              <w:rPr>
                <w:b/>
              </w:rPr>
            </w:pP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CE68" w14:textId="77777777" w:rsidR="00D2353C" w:rsidRDefault="00D2353C" w:rsidP="006E6127">
      <w:pPr>
        <w:spacing w:after="0" w:line="240" w:lineRule="auto"/>
      </w:pPr>
      <w:r>
        <w:separator/>
      </w:r>
    </w:p>
  </w:endnote>
  <w:endnote w:type="continuationSeparator" w:id="0">
    <w:p w14:paraId="199CC5D8" w14:textId="77777777" w:rsidR="00D2353C" w:rsidRDefault="00D2353C"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ED74" w14:textId="77777777" w:rsidR="00D2353C" w:rsidRDefault="00D2353C" w:rsidP="006E6127">
      <w:pPr>
        <w:spacing w:after="0" w:line="240" w:lineRule="auto"/>
      </w:pPr>
      <w:r>
        <w:separator/>
      </w:r>
    </w:p>
  </w:footnote>
  <w:footnote w:type="continuationSeparator" w:id="0">
    <w:p w14:paraId="206928D4" w14:textId="77777777" w:rsidR="00D2353C" w:rsidRDefault="00D2353C"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C307B"/>
    <w:multiLevelType w:val="multilevel"/>
    <w:tmpl w:val="DD7C5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96F9B"/>
    <w:multiLevelType w:val="multilevel"/>
    <w:tmpl w:val="DD7A4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5"/>
  </w:num>
  <w:num w:numId="5">
    <w:abstractNumId w:val="6"/>
  </w:num>
  <w:num w:numId="6">
    <w:abstractNumId w:val="13"/>
  </w:num>
  <w:num w:numId="7">
    <w:abstractNumId w:val="2"/>
  </w:num>
  <w:num w:numId="8">
    <w:abstractNumId w:val="4"/>
  </w:num>
  <w:num w:numId="9">
    <w:abstractNumId w:val="5"/>
  </w:num>
  <w:num w:numId="10">
    <w:abstractNumId w:val="16"/>
  </w:num>
  <w:num w:numId="11">
    <w:abstractNumId w:val="1"/>
  </w:num>
  <w:num w:numId="12">
    <w:abstractNumId w:val="8"/>
  </w:num>
  <w:num w:numId="13">
    <w:abstractNumId w:val="9"/>
  </w:num>
  <w:num w:numId="14">
    <w:abstractNumId w:val="0"/>
  </w:num>
  <w:num w:numId="15">
    <w:abstractNumId w:val="7"/>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27327"/>
    <w:rsid w:val="000362E9"/>
    <w:rsid w:val="000A5FB7"/>
    <w:rsid w:val="000B53E0"/>
    <w:rsid w:val="000D022E"/>
    <w:rsid w:val="000D3A88"/>
    <w:rsid w:val="000D4FBC"/>
    <w:rsid w:val="000E2872"/>
    <w:rsid w:val="000F7117"/>
    <w:rsid w:val="0010106D"/>
    <w:rsid w:val="00167C0C"/>
    <w:rsid w:val="00170BE7"/>
    <w:rsid w:val="001A7EBB"/>
    <w:rsid w:val="001B577C"/>
    <w:rsid w:val="001F535B"/>
    <w:rsid w:val="00295395"/>
    <w:rsid w:val="002C5057"/>
    <w:rsid w:val="002E7CF8"/>
    <w:rsid w:val="002F5466"/>
    <w:rsid w:val="00325B09"/>
    <w:rsid w:val="00337001"/>
    <w:rsid w:val="003442F5"/>
    <w:rsid w:val="0035424F"/>
    <w:rsid w:val="00397A73"/>
    <w:rsid w:val="003A3C98"/>
    <w:rsid w:val="003A7AD7"/>
    <w:rsid w:val="003F75D7"/>
    <w:rsid w:val="003F7B87"/>
    <w:rsid w:val="004136DD"/>
    <w:rsid w:val="00437B57"/>
    <w:rsid w:val="004625F6"/>
    <w:rsid w:val="00470634"/>
    <w:rsid w:val="00477FE3"/>
    <w:rsid w:val="004C63D7"/>
    <w:rsid w:val="004C6DE3"/>
    <w:rsid w:val="004E6471"/>
    <w:rsid w:val="00504A1F"/>
    <w:rsid w:val="005149F2"/>
    <w:rsid w:val="00522C7E"/>
    <w:rsid w:val="00582BA8"/>
    <w:rsid w:val="00594E21"/>
    <w:rsid w:val="005C5758"/>
    <w:rsid w:val="005D7571"/>
    <w:rsid w:val="006128FC"/>
    <w:rsid w:val="006439B9"/>
    <w:rsid w:val="0066474B"/>
    <w:rsid w:val="00665346"/>
    <w:rsid w:val="0066687C"/>
    <w:rsid w:val="00666D0A"/>
    <w:rsid w:val="00675FF9"/>
    <w:rsid w:val="00676971"/>
    <w:rsid w:val="00682A77"/>
    <w:rsid w:val="006B70DD"/>
    <w:rsid w:val="006E6127"/>
    <w:rsid w:val="006F25A8"/>
    <w:rsid w:val="00710E3A"/>
    <w:rsid w:val="00751EB7"/>
    <w:rsid w:val="00767E71"/>
    <w:rsid w:val="007B63D9"/>
    <w:rsid w:val="007E5905"/>
    <w:rsid w:val="00821CB5"/>
    <w:rsid w:val="00825D18"/>
    <w:rsid w:val="00830414"/>
    <w:rsid w:val="00841F22"/>
    <w:rsid w:val="008518F0"/>
    <w:rsid w:val="00862117"/>
    <w:rsid w:val="00862C2F"/>
    <w:rsid w:val="00862D19"/>
    <w:rsid w:val="008733B4"/>
    <w:rsid w:val="0088062A"/>
    <w:rsid w:val="0088477A"/>
    <w:rsid w:val="00890982"/>
    <w:rsid w:val="00894D36"/>
    <w:rsid w:val="00896337"/>
    <w:rsid w:val="008A58A4"/>
    <w:rsid w:val="008D6E24"/>
    <w:rsid w:val="008F2278"/>
    <w:rsid w:val="008F2AD4"/>
    <w:rsid w:val="00912C2C"/>
    <w:rsid w:val="00960C59"/>
    <w:rsid w:val="00966007"/>
    <w:rsid w:val="00973B60"/>
    <w:rsid w:val="009935BC"/>
    <w:rsid w:val="009D4DCA"/>
    <w:rsid w:val="009F1F3E"/>
    <w:rsid w:val="009F3E5F"/>
    <w:rsid w:val="00A03DCD"/>
    <w:rsid w:val="00A404E6"/>
    <w:rsid w:val="00A45C8A"/>
    <w:rsid w:val="00AB7918"/>
    <w:rsid w:val="00AF45A7"/>
    <w:rsid w:val="00AF4B84"/>
    <w:rsid w:val="00B01AB4"/>
    <w:rsid w:val="00B36EBC"/>
    <w:rsid w:val="00B655A2"/>
    <w:rsid w:val="00B755E3"/>
    <w:rsid w:val="00BA33B5"/>
    <w:rsid w:val="00C5031A"/>
    <w:rsid w:val="00C72021"/>
    <w:rsid w:val="00C84E02"/>
    <w:rsid w:val="00CB15F5"/>
    <w:rsid w:val="00D026B5"/>
    <w:rsid w:val="00D15871"/>
    <w:rsid w:val="00D2353C"/>
    <w:rsid w:val="00D402FB"/>
    <w:rsid w:val="00D5202E"/>
    <w:rsid w:val="00D64813"/>
    <w:rsid w:val="00D74FCA"/>
    <w:rsid w:val="00DA7D0B"/>
    <w:rsid w:val="00DC3F66"/>
    <w:rsid w:val="00E35C41"/>
    <w:rsid w:val="00E37A87"/>
    <w:rsid w:val="00E46198"/>
    <w:rsid w:val="00E541E4"/>
    <w:rsid w:val="00E729F2"/>
    <w:rsid w:val="00E75690"/>
    <w:rsid w:val="00EE33EA"/>
    <w:rsid w:val="00EE5B37"/>
    <w:rsid w:val="00EF7466"/>
    <w:rsid w:val="00F44629"/>
    <w:rsid w:val="00F56631"/>
    <w:rsid w:val="00FA65DC"/>
    <w:rsid w:val="00FB59F1"/>
    <w:rsid w:val="00FC07AE"/>
    <w:rsid w:val="00FC5BA5"/>
    <w:rsid w:val="00FD2782"/>
    <w:rsid w:val="00FD3DC8"/>
    <w:rsid w:val="161EA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27327"/>
    <w:rPr>
      <w:rFonts w:ascii="Calibri" w:eastAsia="Calibri" w:hAnsi="Calibri" w:cs="Calibri"/>
      <w:lang w:val="en-US"/>
    </w:rPr>
  </w:style>
  <w:style w:type="character" w:styleId="UnresolvedMention">
    <w:name w:val="Unresolved Mention"/>
    <w:basedOn w:val="DefaultParagraphFont"/>
    <w:uiPriority w:val="99"/>
    <w:semiHidden/>
    <w:unhideWhenUsed/>
    <w:rsid w:val="00B75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3197">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watson@leice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022D-EEA1-45D8-8A6D-92D3CA282645}">
  <ds:schemaRefs>
    <ds:schemaRef ds:uri="http://schemas.microsoft.com/sharepoint/v3/contenttype/forms"/>
  </ds:schemaRefs>
</ds:datastoreItem>
</file>

<file path=customXml/itemProps2.xml><?xml version="1.0" encoding="utf-8"?>
<ds:datastoreItem xmlns:ds="http://schemas.openxmlformats.org/officeDocument/2006/customXml" ds:itemID="{385EE219-FFC5-4688-9DE9-63F6F640D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8094C-3D83-4763-B7CD-1B5F536F7A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3BB3D2-3AD0-4332-B5C1-A9CCF8C9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459</Words>
  <Characters>2619</Characters>
  <Application>Microsoft Office Word</Application>
  <DocSecurity>0</DocSecurity>
  <Lines>21</Lines>
  <Paragraphs>6</Paragraphs>
  <ScaleCrop>false</ScaleCrop>
  <Company>University of Leicester</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4</cp:revision>
  <dcterms:created xsi:type="dcterms:W3CDTF">2022-11-20T14:00:00Z</dcterms:created>
  <dcterms:modified xsi:type="dcterms:W3CDTF">2022-11-21T12:02:00Z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